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5445" w14:textId="77777777" w:rsidR="00A966DF" w:rsidRPr="001B2F96" w:rsidRDefault="00A966DF" w:rsidP="00A966DF">
      <w:pPr>
        <w:pStyle w:val="Style1"/>
        <w:ind w:left="0" w:firstLine="0"/>
        <w:rPr>
          <w:rFonts w:asciiTheme="majorHAnsi" w:hAnsiTheme="majorHAnsi" w:cstheme="majorHAnsi"/>
          <w:sz w:val="40"/>
          <w:szCs w:val="40"/>
        </w:rPr>
      </w:pPr>
      <w:bookmarkStart w:id="0" w:name="_Toc117491459"/>
      <w:bookmarkStart w:id="1" w:name="_Toc118722816"/>
    </w:p>
    <w:p w14:paraId="050B8328" w14:textId="77777777" w:rsidR="00A966DF" w:rsidRPr="00B96275" w:rsidRDefault="00A966DF">
      <w:pPr>
        <w:pStyle w:val="Style1"/>
        <w:ind w:left="-1276" w:firstLine="0"/>
        <w:rPr>
          <w:rFonts w:asciiTheme="majorHAnsi" w:hAnsiTheme="majorHAnsi" w:cstheme="majorHAnsi"/>
          <w:color w:val="3C5587"/>
          <w:sz w:val="96"/>
          <w:szCs w:val="96"/>
        </w:rPr>
      </w:pPr>
      <w:r w:rsidRPr="00B96275">
        <w:rPr>
          <w:rFonts w:asciiTheme="majorHAnsi" w:hAnsiTheme="majorHAnsi"/>
          <w:color w:val="3C5587"/>
          <w:sz w:val="96"/>
          <w:szCs w:val="40"/>
        </w:rPr>
        <w:t>Modello di elenco delle attività di trattamento dei dati</w:t>
      </w:r>
    </w:p>
    <w:p w14:paraId="25B34FD4" w14:textId="0E245E0C" w:rsidR="005859AA" w:rsidRPr="009D2624" w:rsidRDefault="009D2624" w:rsidP="005859AA">
      <w:pPr>
        <w:pStyle w:val="Style1"/>
        <w:ind w:left="-1276" w:firstLine="0"/>
        <w:rPr>
          <w:rFonts w:asciiTheme="majorHAnsi" w:hAnsiTheme="majorHAnsi" w:cstheme="majorHAnsi"/>
          <w:b w:val="0"/>
          <w:bCs w:val="0"/>
          <w:color w:val="3C5587"/>
          <w:sz w:val="24"/>
          <w:szCs w:val="24"/>
        </w:rPr>
      </w:pPr>
      <w:r w:rsidRPr="009D2624">
        <w:rPr>
          <w:rFonts w:asciiTheme="majorHAnsi" w:hAnsiTheme="majorHAnsi"/>
          <w:b w:val="0"/>
          <w:bCs w:val="0"/>
          <w:color w:val="3C5587"/>
          <w:sz w:val="24"/>
          <w:szCs w:val="18"/>
        </w:rPr>
        <w:t>Versione 03/2023</w:t>
      </w:r>
    </w:p>
    <w:p w14:paraId="6B0A4320" w14:textId="77777777" w:rsidR="005859AA" w:rsidRPr="001B2F96" w:rsidRDefault="005859AA" w:rsidP="005859AA">
      <w:pPr>
        <w:pStyle w:val="Style1"/>
        <w:ind w:left="-1276" w:firstLine="0"/>
        <w:rPr>
          <w:rFonts w:asciiTheme="majorHAnsi" w:hAnsiTheme="majorHAnsi" w:cstheme="majorHAnsi"/>
          <w:sz w:val="28"/>
          <w:szCs w:val="28"/>
        </w:rPr>
      </w:pPr>
    </w:p>
    <w:p w14:paraId="03BE0BA4" w14:textId="77777777" w:rsidR="00B1133F" w:rsidRPr="001B2F96" w:rsidRDefault="00267D92" w:rsidP="005859AA">
      <w:pPr>
        <w:pStyle w:val="Style1"/>
        <w:ind w:left="-1276" w:firstLin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/>
        </w:rPr>
        <w:t>Legenda</w:t>
      </w:r>
      <w:bookmarkEnd w:id="0"/>
      <w:bookmarkEnd w:id="1"/>
      <w:r>
        <w:rPr>
          <w:rFonts w:asciiTheme="majorHAnsi" w:hAnsiTheme="majorHAnsi"/>
        </w:rPr>
        <w:t xml:space="preserve"> </w:t>
      </w:r>
    </w:p>
    <w:p w14:paraId="2CD148C1" w14:textId="77777777" w:rsidR="00B1133F" w:rsidRPr="001B2F96" w:rsidRDefault="00267D92">
      <w:pPr>
        <w:spacing w:line="360" w:lineRule="auto"/>
        <w:ind w:left="-1418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/>
          <w:color w:val="000000" w:themeColor="text1"/>
        </w:rPr>
        <w:t>I</w:t>
      </w:r>
      <w:r>
        <w:rPr>
          <w:rFonts w:asciiTheme="majorHAnsi" w:hAnsiTheme="majorHAnsi"/>
          <w:color w:val="000000" w:themeColor="text1"/>
          <w:highlight w:val="yellow"/>
        </w:rPr>
        <w:t xml:space="preserve"> [campi di testo]</w:t>
      </w:r>
      <w:r>
        <w:rPr>
          <w:rFonts w:asciiTheme="majorHAnsi" w:hAnsiTheme="majorHAnsi"/>
          <w:color w:val="000000" w:themeColor="text1"/>
        </w:rPr>
        <w:t xml:space="preserve"> devono essere modificati singolarmente. Dopo la modifica la marcatura in giallo e le parentesi [ ] devono essere eliminate. </w:t>
      </w:r>
    </w:p>
    <w:p w14:paraId="73E0D419" w14:textId="77777777" w:rsidR="00B1133F" w:rsidRPr="001B2F96" w:rsidRDefault="00267D92">
      <w:pPr>
        <w:spacing w:line="360" w:lineRule="auto"/>
        <w:ind w:left="-1418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/>
        </w:rPr>
        <w:t xml:space="preserve">I testi in carattere </w:t>
      </w:r>
      <w:r>
        <w:rPr>
          <w:rFonts w:asciiTheme="majorHAnsi" w:hAnsiTheme="majorHAnsi"/>
          <w:color w:val="FF0000"/>
        </w:rPr>
        <w:t>rosso</w:t>
      </w:r>
      <w:r>
        <w:rPr>
          <w:rFonts w:asciiTheme="majorHAnsi" w:hAnsiTheme="majorHAnsi"/>
          <w:color w:val="000000" w:themeColor="text1"/>
        </w:rPr>
        <w:t xml:space="preserve"> hanno funzione di esempio. Agli esempi di testo pertinenti per lo studio medico può essere applicato il colore nero, effettuando le modifiche e integrazioni desiderate. Se gli esempi non corrispondono, è possibile sovrascriverli o cancellarli. </w:t>
      </w:r>
    </w:p>
    <w:p w14:paraId="1335C7EF" w14:textId="77777777" w:rsidR="00B1133F" w:rsidRPr="001B2F96" w:rsidRDefault="00267D92">
      <w:pPr>
        <w:spacing w:line="360" w:lineRule="auto"/>
        <w:ind w:left="-1418"/>
        <w:rPr>
          <w:rFonts w:asciiTheme="majorHAnsi" w:hAnsiTheme="majorHAnsi" w:cstheme="majorHAnsi"/>
        </w:rPr>
      </w:pPr>
      <w:r>
        <w:rPr>
          <w:rFonts w:asciiTheme="majorHAnsi" w:hAnsiTheme="majorHAnsi"/>
          <w:color w:val="000000" w:themeColor="text1"/>
        </w:rPr>
        <w:t xml:space="preserve">Le </w:t>
      </w:r>
      <w:r>
        <w:rPr>
          <w:rFonts w:asciiTheme="majorHAnsi" w:hAnsiTheme="majorHAnsi"/>
          <w:color w:val="000000" w:themeColor="text1"/>
          <w:highlight w:val="lightGray"/>
        </w:rPr>
        <w:t>avvertenze</w:t>
      </w:r>
      <w:r>
        <w:rPr>
          <w:rFonts w:asciiTheme="majorHAnsi" w:hAnsiTheme="majorHAnsi"/>
          <w:color w:val="000000" w:themeColor="text1"/>
        </w:rPr>
        <w:t xml:space="preserve"> e gli eventuali relativi elementi possono essere cancellati dopo averne preso atto.</w:t>
      </w:r>
      <w:r>
        <w:rPr>
          <w:rFonts w:asciiTheme="majorHAnsi" w:hAnsiTheme="majorHAnsi"/>
        </w:rPr>
        <w:t xml:space="preserve"> </w:t>
      </w:r>
    </w:p>
    <w:p w14:paraId="1143D140" w14:textId="77777777" w:rsidR="00B1133F" w:rsidRPr="001B2F96" w:rsidRDefault="00267D92">
      <w:pPr>
        <w:tabs>
          <w:tab w:val="right" w:leader="underscore" w:pos="12758"/>
        </w:tabs>
        <w:spacing w:line="360" w:lineRule="auto"/>
        <w:ind w:left="-1418"/>
        <w:rPr>
          <w:rFonts w:asciiTheme="majorHAnsi" w:hAnsiTheme="majorHAnsi" w:cstheme="majorHAnsi"/>
          <w:color w:val="000000"/>
          <w:szCs w:val="18"/>
        </w:rPr>
      </w:pPr>
      <w:r>
        <w:rPr>
          <w:rFonts w:asciiTheme="majorHAnsi" w:hAnsiTheme="majorHAnsi"/>
          <w:color w:val="000000" w:themeColor="text1"/>
        </w:rPr>
        <w:tab/>
      </w:r>
    </w:p>
    <w:p w14:paraId="71BF4B48" w14:textId="77777777" w:rsidR="00B1133F" w:rsidRPr="001B2F96" w:rsidRDefault="00267D92">
      <w:pPr>
        <w:spacing w:after="0" w:line="240" w:lineRule="auto"/>
        <w:jc w:val="left"/>
        <w:rPr>
          <w:rFonts w:asciiTheme="majorHAnsi" w:hAnsiTheme="majorHAnsi" w:cstheme="majorHAnsi"/>
          <w:color w:val="000000"/>
          <w:szCs w:val="18"/>
        </w:rPr>
      </w:pPr>
      <w:r>
        <w:br w:type="page" w:clear="all"/>
      </w:r>
    </w:p>
    <w:p w14:paraId="52B7EA7D" w14:textId="77777777" w:rsidR="00B1133F" w:rsidRPr="001B2F96" w:rsidRDefault="00267D92">
      <w:pPr>
        <w:pStyle w:val="Style1"/>
        <w:ind w:left="-1418" w:firstLine="0"/>
        <w:rPr>
          <w:rFonts w:asciiTheme="majorHAnsi" w:hAnsiTheme="majorHAnsi" w:cstheme="majorHAnsi"/>
        </w:rPr>
      </w:pPr>
      <w:bookmarkStart w:id="2" w:name="_Toc118722817"/>
      <w:r>
        <w:rPr>
          <w:rFonts w:asciiTheme="majorHAnsi" w:hAnsiTheme="majorHAnsi"/>
        </w:rPr>
        <w:lastRenderedPageBreak/>
        <w:t>Elenco delle attività di trattamento dei dati</w:t>
      </w:r>
      <w:bookmarkEnd w:id="2"/>
    </w:p>
    <w:p w14:paraId="74AB9573" w14:textId="77777777" w:rsidR="00B1133F" w:rsidRPr="001B2F96" w:rsidRDefault="00267D92">
      <w:pPr>
        <w:pStyle w:val="Body"/>
        <w:tabs>
          <w:tab w:val="left" w:pos="1134"/>
        </w:tabs>
        <w:spacing w:after="0" w:line="360" w:lineRule="auto"/>
        <w:ind w:left="-141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/>
          <w:b/>
          <w:highlight w:val="yellow"/>
        </w:rPr>
        <w:t>[Nome dello studio medico o del medico]</w:t>
      </w:r>
    </w:p>
    <w:p w14:paraId="75914706" w14:textId="77777777" w:rsidR="00B1133F" w:rsidRPr="001B2F96" w:rsidRDefault="00267D92">
      <w:pPr>
        <w:pStyle w:val="Body"/>
        <w:tabs>
          <w:tab w:val="left" w:pos="1134"/>
        </w:tabs>
        <w:spacing w:after="0" w:line="360" w:lineRule="auto"/>
        <w:ind w:left="-1418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highlight w:val="lightGray"/>
        </w:rPr>
        <w:t>Avvertenza: se lo studio medico responsabile dell’elenco è già riportato nell’intestazione o nel piè di pagina, non è necessario indicarlo nuovamente. Lo stesso vale anche per i dati di contatto.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B1133F" w:rsidRPr="000A697C" w14:paraId="2FC10CBF" w14:textId="77777777">
        <w:tc>
          <w:tcPr>
            <w:tcW w:w="4395" w:type="dxa"/>
          </w:tcPr>
          <w:p w14:paraId="615EA0E5" w14:textId="77777777" w:rsidR="00B1133F" w:rsidRPr="001B2F96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  <w:highlight w:val="yellow"/>
              </w:rPr>
              <w:t>[Via n.]</w:t>
            </w:r>
          </w:p>
        </w:tc>
        <w:tc>
          <w:tcPr>
            <w:tcW w:w="4678" w:type="dxa"/>
          </w:tcPr>
          <w:p w14:paraId="064F6ACE" w14:textId="77777777" w:rsidR="00B1133F" w:rsidRPr="00D71958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/>
              </w:rPr>
              <w:t xml:space="preserve">Telefono: </w:t>
            </w:r>
            <w:r>
              <w:rPr>
                <w:rFonts w:asciiTheme="majorHAnsi" w:hAnsiTheme="majorHAnsi"/>
                <w:highlight w:val="yellow"/>
              </w:rPr>
              <w:t>[+41 XX XXX XX XX</w:t>
            </w:r>
            <w:r>
              <w:rPr>
                <w:rFonts w:asciiTheme="majorHAnsi" w:hAnsiTheme="majorHAnsi"/>
              </w:rPr>
              <w:t>]</w:t>
            </w:r>
          </w:p>
        </w:tc>
      </w:tr>
      <w:tr w:rsidR="00B1133F" w:rsidRPr="0053625A" w14:paraId="4DA57CAF" w14:textId="77777777">
        <w:tc>
          <w:tcPr>
            <w:tcW w:w="4395" w:type="dxa"/>
          </w:tcPr>
          <w:p w14:paraId="1C12BFCC" w14:textId="77777777" w:rsidR="00B1133F" w:rsidRPr="001B2F96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/>
                <w:highlight w:val="yellow"/>
              </w:rPr>
              <w:t>[NPA/Località]</w:t>
            </w:r>
          </w:p>
        </w:tc>
        <w:tc>
          <w:tcPr>
            <w:tcW w:w="4678" w:type="dxa"/>
          </w:tcPr>
          <w:p w14:paraId="1654C8BB" w14:textId="77777777" w:rsidR="00B1133F" w:rsidRPr="0053625A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/>
              </w:rPr>
              <w:t xml:space="preserve">E-mail: </w:t>
            </w:r>
            <w:r>
              <w:rPr>
                <w:rFonts w:asciiTheme="majorHAnsi" w:hAnsiTheme="majorHAnsi"/>
                <w:highlight w:val="yellow"/>
              </w:rPr>
              <w:t>[esempio@studiomedico.ch]</w:t>
            </w:r>
          </w:p>
        </w:tc>
      </w:tr>
    </w:tbl>
    <w:p w14:paraId="60AD1BBD" w14:textId="77777777" w:rsidR="00B1133F" w:rsidRPr="0053625A" w:rsidRDefault="00B1133F">
      <w:pPr>
        <w:pStyle w:val="Body"/>
        <w:tabs>
          <w:tab w:val="left" w:pos="2694"/>
        </w:tabs>
        <w:spacing w:after="0" w:line="360" w:lineRule="auto"/>
        <w:jc w:val="both"/>
        <w:rPr>
          <w:rFonts w:asciiTheme="majorHAnsi" w:hAnsiTheme="majorHAnsi" w:cstheme="majorHAnsi"/>
        </w:rPr>
      </w:pPr>
    </w:p>
    <w:tbl>
      <w:tblPr>
        <w:tblStyle w:val="Redguardverticalfirstcolumn"/>
        <w:tblW w:w="16161" w:type="dxa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8"/>
        <w:gridCol w:w="1417"/>
        <w:gridCol w:w="1843"/>
        <w:gridCol w:w="1985"/>
        <w:gridCol w:w="2126"/>
        <w:gridCol w:w="1559"/>
        <w:gridCol w:w="1276"/>
        <w:gridCol w:w="1276"/>
      </w:tblGrid>
      <w:tr w:rsidR="00B1133F" w:rsidRPr="001B2F96" w14:paraId="0135BCD4" w14:textId="77777777" w:rsidTr="00B1133F">
        <w:trPr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3E2" w:themeFill="text2" w:themeFillTint="66"/>
            <w:vAlign w:val="center"/>
          </w:tcPr>
          <w:p w14:paraId="6C0E1D84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16"/>
              </w:rPr>
              <w:t>Attività di trattamento dei dati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48F3474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Scopo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34DC4EBC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Responsabili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02C5613C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Categorie di persone interessate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692FF397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Categoria di dati personali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6FA0DBEB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Categoria di destinatari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0921C514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Durata di conservazione/</w:t>
            </w:r>
          </w:p>
          <w:p w14:paraId="6F9249BC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criteri di conservazione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5A239759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Misure per la sicurezza dei dati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2721A75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Comunicazione all’estero?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E6DCE47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Indicazione stato e garanzia/</w:t>
            </w:r>
          </w:p>
          <w:p w14:paraId="258F301E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</w:rPr>
              <w:t>strumento</w:t>
            </w:r>
          </w:p>
        </w:tc>
      </w:tr>
      <w:tr w:rsidR="00B1133F" w:rsidRPr="001B2F96" w14:paraId="68799FD3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0599C0E6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Tenuta e gestione delle cartelle cliniche (CC)</w:t>
            </w:r>
          </w:p>
          <w:p w14:paraId="7689EDA7" w14:textId="77777777" w:rsidR="00B1133F" w:rsidRPr="001B2F96" w:rsidRDefault="00B1133F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6F0A8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Documentazione del trattamento</w:t>
            </w:r>
          </w:p>
        </w:tc>
        <w:tc>
          <w:tcPr>
            <w:tcW w:w="1418" w:type="dxa"/>
          </w:tcPr>
          <w:p w14:paraId="52F4869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09DBE749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444973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666AD015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ABD961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4632B4E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Pazienti</w:t>
            </w:r>
          </w:p>
        </w:tc>
        <w:tc>
          <w:tcPr>
            <w:tcW w:w="1843" w:type="dxa"/>
          </w:tcPr>
          <w:p w14:paraId="2252307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Dati personali, </w:t>
            </w:r>
          </w:p>
          <w:p w14:paraId="461A5AC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del trattamento,</w:t>
            </w:r>
          </w:p>
          <w:p w14:paraId="7C19C02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dati sanitari, </w:t>
            </w:r>
            <w:proofErr w:type="spellStart"/>
            <w:r>
              <w:rPr>
                <w:rFonts w:asciiTheme="majorHAnsi" w:hAnsiTheme="majorHAnsi"/>
                <w:color w:val="FF0000"/>
                <w:sz w:val="16"/>
              </w:rPr>
              <w:t>ev</w:t>
            </w:r>
            <w:proofErr w:type="spellEnd"/>
            <w:r>
              <w:rPr>
                <w:rFonts w:asciiTheme="majorHAnsi" w:hAnsiTheme="majorHAnsi"/>
                <w:color w:val="FF0000"/>
                <w:sz w:val="16"/>
              </w:rPr>
              <w:t>. religione di appartenenza</w:t>
            </w:r>
          </w:p>
        </w:tc>
        <w:tc>
          <w:tcPr>
            <w:tcW w:w="1985" w:type="dxa"/>
          </w:tcPr>
          <w:p w14:paraId="02ECE6D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Eventualmente altri medici</w:t>
            </w:r>
          </w:p>
        </w:tc>
        <w:tc>
          <w:tcPr>
            <w:tcW w:w="2126" w:type="dxa"/>
          </w:tcPr>
          <w:p w14:paraId="556198B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20 anni secondo il Codice deontologico della FHM </w:t>
            </w:r>
          </w:p>
        </w:tc>
        <w:tc>
          <w:tcPr>
            <w:tcW w:w="1559" w:type="dxa"/>
          </w:tcPr>
          <w:p w14:paraId="1C2C2B3B" w14:textId="77777777" w:rsidR="00D71958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Limitazione degli accessi in caso di CC tenuta digitalmente/ </w:t>
            </w:r>
          </w:p>
          <w:p w14:paraId="658327E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armadietti chiusi in caso di CC in formato analogico</w:t>
            </w:r>
          </w:p>
        </w:tc>
        <w:tc>
          <w:tcPr>
            <w:tcW w:w="1276" w:type="dxa"/>
          </w:tcPr>
          <w:p w14:paraId="739E04C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102B4EC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69FE75E9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1CF54DB4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 xml:space="preserve">Gestione dei dati dei pazienti per la fatturazione alle assicurazioni sociali </w:t>
            </w:r>
          </w:p>
        </w:tc>
        <w:tc>
          <w:tcPr>
            <w:tcW w:w="1418" w:type="dxa"/>
          </w:tcPr>
          <w:p w14:paraId="09B2A30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Conteggio per i contributi sociali</w:t>
            </w:r>
          </w:p>
        </w:tc>
        <w:tc>
          <w:tcPr>
            <w:tcW w:w="1418" w:type="dxa"/>
          </w:tcPr>
          <w:p w14:paraId="2524CC3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Nome dello studio medico</w:t>
            </w:r>
          </w:p>
        </w:tc>
        <w:tc>
          <w:tcPr>
            <w:tcW w:w="1417" w:type="dxa"/>
          </w:tcPr>
          <w:p w14:paraId="0FBBF65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Pazienti</w:t>
            </w:r>
          </w:p>
        </w:tc>
        <w:tc>
          <w:tcPr>
            <w:tcW w:w="1843" w:type="dxa"/>
          </w:tcPr>
          <w:p w14:paraId="38E6013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Dati personali, dati del trattamento, dati delle assicurazioni sociali </w:t>
            </w:r>
          </w:p>
        </w:tc>
        <w:tc>
          <w:tcPr>
            <w:tcW w:w="1985" w:type="dxa"/>
          </w:tcPr>
          <w:p w14:paraId="6ACA12E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Assicurazioni malattia,</w:t>
            </w:r>
          </w:p>
          <w:p w14:paraId="65449D1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assicurazioni contro gli infortuni,</w:t>
            </w:r>
          </w:p>
          <w:p w14:paraId="144B150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assicurazioni di invalidità</w:t>
            </w:r>
          </w:p>
          <w:p w14:paraId="1F739F8B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BC48B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highlight w:val="lightGray"/>
              </w:rPr>
              <w:t>Avvertenza: qui dipende dal singolo caso</w:t>
            </w:r>
          </w:p>
        </w:tc>
        <w:tc>
          <w:tcPr>
            <w:tcW w:w="1559" w:type="dxa"/>
          </w:tcPr>
          <w:p w14:paraId="1F3EC80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Limitazione degli accessi a sistemi di fatturazione</w:t>
            </w:r>
          </w:p>
        </w:tc>
        <w:tc>
          <w:tcPr>
            <w:tcW w:w="1276" w:type="dxa"/>
          </w:tcPr>
          <w:p w14:paraId="468BD6A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7DB6D46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4B0A6E06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61FE6267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Esecuzione di analisi di laboratorio</w:t>
            </w:r>
          </w:p>
        </w:tc>
        <w:tc>
          <w:tcPr>
            <w:tcW w:w="1418" w:type="dxa"/>
          </w:tcPr>
          <w:p w14:paraId="771205C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Finalità di screening, controllo del decorso, determinazione dei valori di laboratorio per misure terapeutiche immediate del paziente</w:t>
            </w:r>
          </w:p>
          <w:p w14:paraId="09755108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B2655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7AE7893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oppure medico curante o nome dello studio medico</w:t>
            </w:r>
          </w:p>
        </w:tc>
        <w:tc>
          <w:tcPr>
            <w:tcW w:w="1417" w:type="dxa"/>
          </w:tcPr>
          <w:p w14:paraId="1F88A4B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Pazienti</w:t>
            </w:r>
          </w:p>
        </w:tc>
        <w:tc>
          <w:tcPr>
            <w:tcW w:w="1843" w:type="dxa"/>
          </w:tcPr>
          <w:p w14:paraId="58245CF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Dati personali, </w:t>
            </w:r>
          </w:p>
          <w:p w14:paraId="06106BE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del trattamento, dati sanitari</w:t>
            </w:r>
          </w:p>
        </w:tc>
        <w:tc>
          <w:tcPr>
            <w:tcW w:w="1985" w:type="dxa"/>
          </w:tcPr>
          <w:p w14:paraId="3F08E29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Eventualmente altri medici</w:t>
            </w:r>
          </w:p>
        </w:tc>
        <w:tc>
          <w:tcPr>
            <w:tcW w:w="2126" w:type="dxa"/>
          </w:tcPr>
          <w:p w14:paraId="52E8F0D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5 anni (direttiva sui controlli di qualità interni, allegato al concetto per la garanzia di qualità nel laboratorio medico, concetto QUALAB)</w:t>
            </w:r>
          </w:p>
        </w:tc>
        <w:tc>
          <w:tcPr>
            <w:tcW w:w="1559" w:type="dxa"/>
          </w:tcPr>
          <w:p w14:paraId="4D6BBD2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Accordi con i fornitori di servizi (ad es. SLA)</w:t>
            </w:r>
          </w:p>
        </w:tc>
        <w:tc>
          <w:tcPr>
            <w:tcW w:w="1276" w:type="dxa"/>
          </w:tcPr>
          <w:p w14:paraId="394517C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No </w:t>
            </w:r>
          </w:p>
        </w:tc>
        <w:tc>
          <w:tcPr>
            <w:tcW w:w="1276" w:type="dxa"/>
          </w:tcPr>
          <w:p w14:paraId="2AAD07A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3500BDEC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6A2BC168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lastRenderedPageBreak/>
              <w:t>Gestione degli ordini di medicinali e materiale</w:t>
            </w:r>
          </w:p>
        </w:tc>
        <w:tc>
          <w:tcPr>
            <w:tcW w:w="1418" w:type="dxa"/>
          </w:tcPr>
          <w:p w14:paraId="2BA79BD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Svolgimento dell’attività quotidiana</w:t>
            </w:r>
          </w:p>
        </w:tc>
        <w:tc>
          <w:tcPr>
            <w:tcW w:w="1418" w:type="dxa"/>
          </w:tcPr>
          <w:p w14:paraId="5812072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46AA5085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0EDFCBD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3A9CDD6A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EE6F63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6D80532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Pazienti / collaboratori</w:t>
            </w:r>
          </w:p>
        </w:tc>
        <w:tc>
          <w:tcPr>
            <w:tcW w:w="1843" w:type="dxa"/>
          </w:tcPr>
          <w:p w14:paraId="6F01E6D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personali, dati di contatto,</w:t>
            </w:r>
          </w:p>
          <w:p w14:paraId="3701957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sanitari</w:t>
            </w:r>
          </w:p>
        </w:tc>
        <w:tc>
          <w:tcPr>
            <w:tcW w:w="1985" w:type="dxa"/>
          </w:tcPr>
          <w:p w14:paraId="52CF6AC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Fornitori di servizi e fornitori</w:t>
            </w:r>
          </w:p>
        </w:tc>
        <w:tc>
          <w:tcPr>
            <w:tcW w:w="2126" w:type="dxa"/>
          </w:tcPr>
          <w:p w14:paraId="7A3FC30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10 anni (CO) / 20 anni (CO) nel contesto delle lesioni personali</w:t>
            </w:r>
          </w:p>
        </w:tc>
        <w:tc>
          <w:tcPr>
            <w:tcW w:w="1559" w:type="dxa"/>
          </w:tcPr>
          <w:p w14:paraId="7B2AF8D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Limitazione degli accessi alla banca dati interna </w:t>
            </w:r>
          </w:p>
        </w:tc>
        <w:tc>
          <w:tcPr>
            <w:tcW w:w="1276" w:type="dxa"/>
          </w:tcPr>
          <w:p w14:paraId="3A98C9E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1285E07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12DA7776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7882E345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Gestione degli ordini di medicinali e materiale tramite fornitori di servizi esterni</w:t>
            </w:r>
          </w:p>
        </w:tc>
        <w:tc>
          <w:tcPr>
            <w:tcW w:w="1418" w:type="dxa"/>
          </w:tcPr>
          <w:p w14:paraId="5055B46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Svolgimento dell’attività quotidiana</w:t>
            </w:r>
          </w:p>
        </w:tc>
        <w:tc>
          <w:tcPr>
            <w:tcW w:w="1418" w:type="dxa"/>
          </w:tcPr>
          <w:p w14:paraId="02F74B8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64187D83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A93E8C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3755F123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7710933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51EBC9F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Pazienti / collaboratori</w:t>
            </w:r>
          </w:p>
        </w:tc>
        <w:tc>
          <w:tcPr>
            <w:tcW w:w="1843" w:type="dxa"/>
          </w:tcPr>
          <w:p w14:paraId="5DAF083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personali, dati di contatto,</w:t>
            </w:r>
          </w:p>
          <w:p w14:paraId="1EDB859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sanitari</w:t>
            </w:r>
          </w:p>
        </w:tc>
        <w:tc>
          <w:tcPr>
            <w:tcW w:w="1985" w:type="dxa"/>
          </w:tcPr>
          <w:p w14:paraId="669FE61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Fornitori di servizi e fornitori</w:t>
            </w:r>
          </w:p>
        </w:tc>
        <w:tc>
          <w:tcPr>
            <w:tcW w:w="2126" w:type="dxa"/>
          </w:tcPr>
          <w:p w14:paraId="1F4BC99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10 anni (CO) / 20 anni (CO) nel contesto delle lesioni personali</w:t>
            </w:r>
          </w:p>
        </w:tc>
        <w:tc>
          <w:tcPr>
            <w:tcW w:w="1559" w:type="dxa"/>
          </w:tcPr>
          <w:p w14:paraId="398184A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Limitazione degli accessi alla banca dati esterna </w:t>
            </w:r>
          </w:p>
        </w:tc>
        <w:tc>
          <w:tcPr>
            <w:tcW w:w="1276" w:type="dxa"/>
          </w:tcPr>
          <w:p w14:paraId="38CA58C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45BD866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73A949D4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6225B35F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Documentazione dei dati personali nell'ambito di programmi di vaccinazione cantonali</w:t>
            </w:r>
          </w:p>
        </w:tc>
        <w:tc>
          <w:tcPr>
            <w:tcW w:w="1418" w:type="dxa"/>
          </w:tcPr>
          <w:p w14:paraId="5B5F249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Svolgimento dell’attività quotidiana</w:t>
            </w:r>
          </w:p>
        </w:tc>
        <w:tc>
          <w:tcPr>
            <w:tcW w:w="1418" w:type="dxa"/>
          </w:tcPr>
          <w:p w14:paraId="6C0CAAD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3D0229EF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70F822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4901D5B5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670670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012D756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Pazienti / collaboratori</w:t>
            </w:r>
          </w:p>
        </w:tc>
        <w:tc>
          <w:tcPr>
            <w:tcW w:w="1843" w:type="dxa"/>
          </w:tcPr>
          <w:p w14:paraId="47FE901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personali, dati di contatto,</w:t>
            </w:r>
          </w:p>
          <w:p w14:paraId="0BE9C23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sanitari</w:t>
            </w:r>
          </w:p>
        </w:tc>
        <w:tc>
          <w:tcPr>
            <w:tcW w:w="1985" w:type="dxa"/>
          </w:tcPr>
          <w:p w14:paraId="21CD1F83" w14:textId="77777777" w:rsidR="00B1133F" w:rsidRPr="001B2F96" w:rsidRDefault="00F16D19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Dipartimenti sanitari cantonali</w:t>
            </w:r>
          </w:p>
        </w:tc>
        <w:tc>
          <w:tcPr>
            <w:tcW w:w="2126" w:type="dxa"/>
          </w:tcPr>
          <w:p w14:paraId="553EA26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10 anni (CO) / 20 anni (CO) nel contesto delle lesioni personali</w:t>
            </w:r>
          </w:p>
          <w:p w14:paraId="5EE94400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E2942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Limitazione degli accessi al portale Web</w:t>
            </w:r>
          </w:p>
        </w:tc>
        <w:tc>
          <w:tcPr>
            <w:tcW w:w="1276" w:type="dxa"/>
          </w:tcPr>
          <w:p w14:paraId="5059B7E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1CF1648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20D30760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0824739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 xml:space="preserve">Contabilità </w:t>
            </w:r>
          </w:p>
        </w:tc>
        <w:tc>
          <w:tcPr>
            <w:tcW w:w="1418" w:type="dxa"/>
          </w:tcPr>
          <w:p w14:paraId="60F31D4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Svolgimento dell’attività quotidiana</w:t>
            </w:r>
          </w:p>
        </w:tc>
        <w:tc>
          <w:tcPr>
            <w:tcW w:w="1418" w:type="dxa"/>
          </w:tcPr>
          <w:p w14:paraId="69B67F1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1936507A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3BA17D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25322DF6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11A047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2E29473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Collaboratori / pazienti</w:t>
            </w:r>
          </w:p>
        </w:tc>
        <w:tc>
          <w:tcPr>
            <w:tcW w:w="1843" w:type="dxa"/>
          </w:tcPr>
          <w:p w14:paraId="009E76A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personali, indirizzi di fatturazione, dati sanitari (per l’acquisto di medicinali)</w:t>
            </w:r>
          </w:p>
        </w:tc>
        <w:tc>
          <w:tcPr>
            <w:tcW w:w="1985" w:type="dxa"/>
          </w:tcPr>
          <w:p w14:paraId="5A3AC4C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Contabile, amministrazione fiscale </w:t>
            </w:r>
          </w:p>
        </w:tc>
        <w:tc>
          <w:tcPr>
            <w:tcW w:w="2126" w:type="dxa"/>
          </w:tcPr>
          <w:p w14:paraId="1B9CC80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10 anni (CO)</w:t>
            </w:r>
          </w:p>
        </w:tc>
        <w:tc>
          <w:tcPr>
            <w:tcW w:w="1559" w:type="dxa"/>
          </w:tcPr>
          <w:p w14:paraId="68B2E53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Limitazione degli accessi all’archivio digitale /</w:t>
            </w:r>
          </w:p>
          <w:p w14:paraId="3210A16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armadietti chiusi in caso contabilità tenuta in formato analogico</w:t>
            </w:r>
          </w:p>
        </w:tc>
        <w:tc>
          <w:tcPr>
            <w:tcW w:w="1276" w:type="dxa"/>
          </w:tcPr>
          <w:p w14:paraId="430C191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422BAE8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4BDCB522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5ACEA64B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Gestione del personale</w:t>
            </w:r>
          </w:p>
          <w:p w14:paraId="44CE82D5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  <w:highlight w:val="lightGray"/>
              </w:rPr>
              <w:t>Avvertenza: questa attività di trattamento non deve necessariamente essere inserita nell’elenco, ma può essere utile allo studio medico stesso come ausilio.</w:t>
            </w:r>
          </w:p>
        </w:tc>
        <w:tc>
          <w:tcPr>
            <w:tcW w:w="1418" w:type="dxa"/>
          </w:tcPr>
          <w:p w14:paraId="417DFB5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Documentazione per la valutazione delle prestazioni,</w:t>
            </w:r>
          </w:p>
          <w:p w14:paraId="191F5FB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pagamento del salario,</w:t>
            </w:r>
          </w:p>
          <w:p w14:paraId="63A8C58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garanzia di pagamento dei contributi sociali,</w:t>
            </w:r>
          </w:p>
          <w:p w14:paraId="5CAEAD2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lastRenderedPageBreak/>
              <w:t>pianificazione delle risorse</w:t>
            </w:r>
          </w:p>
        </w:tc>
        <w:tc>
          <w:tcPr>
            <w:tcW w:w="1418" w:type="dxa"/>
          </w:tcPr>
          <w:p w14:paraId="3435743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lastRenderedPageBreak/>
              <w:t>Mario Esempio</w:t>
            </w:r>
          </w:p>
          <w:p w14:paraId="01B8C4B8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85F6CA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6FD944FF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7D38F02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0C6222C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Collaboratori</w:t>
            </w:r>
          </w:p>
        </w:tc>
        <w:tc>
          <w:tcPr>
            <w:tcW w:w="1843" w:type="dxa"/>
          </w:tcPr>
          <w:p w14:paraId="2BDBC8B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Dati personali, </w:t>
            </w:r>
          </w:p>
          <w:p w14:paraId="29B0BBD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uscite ed entrate,</w:t>
            </w:r>
          </w:p>
          <w:p w14:paraId="7C234EB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relazioni bancarie, dati relativi a salario e compensi,</w:t>
            </w:r>
          </w:p>
          <w:p w14:paraId="718FCF5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dati relativi alle assicurazioni sociali, valutazioni delle prestazioni, </w:t>
            </w:r>
            <w:proofErr w:type="spellStart"/>
            <w:r>
              <w:rPr>
                <w:rFonts w:asciiTheme="majorHAnsi" w:hAnsiTheme="majorHAnsi"/>
                <w:color w:val="FF0000"/>
                <w:sz w:val="16"/>
              </w:rPr>
              <w:t>ev</w:t>
            </w:r>
            <w:proofErr w:type="spellEnd"/>
            <w:r>
              <w:rPr>
                <w:rFonts w:asciiTheme="majorHAnsi" w:hAnsiTheme="majorHAnsi"/>
                <w:color w:val="FF0000"/>
                <w:sz w:val="16"/>
              </w:rPr>
              <w:t>. dati</w:t>
            </w:r>
          </w:p>
          <w:p w14:paraId="35124F6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lastRenderedPageBreak/>
              <w:t>sanitari, dati sull'appartenenza religiosa</w:t>
            </w:r>
          </w:p>
        </w:tc>
        <w:tc>
          <w:tcPr>
            <w:tcW w:w="1985" w:type="dxa"/>
          </w:tcPr>
          <w:p w14:paraId="1A7C82E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lastRenderedPageBreak/>
              <w:t>Nessuno</w:t>
            </w:r>
          </w:p>
        </w:tc>
        <w:tc>
          <w:tcPr>
            <w:tcW w:w="2126" w:type="dxa"/>
          </w:tcPr>
          <w:p w14:paraId="35B5932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Almeno 5 anni dopo la cessazione del rapporto di lavoro (LL, OLL)</w:t>
            </w:r>
          </w:p>
        </w:tc>
        <w:tc>
          <w:tcPr>
            <w:tcW w:w="1559" w:type="dxa"/>
          </w:tcPr>
          <w:p w14:paraId="11DB3FD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Limitazione degli accessi all’archivio digitale /</w:t>
            </w:r>
          </w:p>
          <w:p w14:paraId="232C306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armadietti chiusi in caso dossier personali tenuti in formato analogico</w:t>
            </w:r>
          </w:p>
          <w:p w14:paraId="7149ECCE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0E91A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15F750A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  <w:tr w:rsidR="00B1133F" w:rsidRPr="001B2F96" w14:paraId="296582B1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6D1DBD3B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Emissione della busta paga</w:t>
            </w:r>
          </w:p>
          <w:p w14:paraId="28F15F25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  <w:highlight w:val="lightGray"/>
              </w:rPr>
              <w:t>Avvertenza: questa attività di trattamento non deve necessariamente essere inserita nell’elenco, ma può essere utile allo studio medico stesso come ausilio.</w:t>
            </w:r>
          </w:p>
        </w:tc>
        <w:tc>
          <w:tcPr>
            <w:tcW w:w="1418" w:type="dxa"/>
          </w:tcPr>
          <w:p w14:paraId="4EDBD8B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pagamento del salario,</w:t>
            </w:r>
          </w:p>
          <w:p w14:paraId="6314FEB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conteggio dei contributi sociali,</w:t>
            </w:r>
          </w:p>
          <w:p w14:paraId="377D0C2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attestazione dell’amministrazione fiscale</w:t>
            </w:r>
          </w:p>
          <w:p w14:paraId="5347DAD5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A2ECB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3360831F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893172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5DEBF34E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FE1E3C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57EB5CF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Collaboratori</w:t>
            </w:r>
          </w:p>
        </w:tc>
        <w:tc>
          <w:tcPr>
            <w:tcW w:w="1843" w:type="dxa"/>
          </w:tcPr>
          <w:p w14:paraId="7B59971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personali, relazioni bancarie, dati salariali, dati delle assicurazioni sociali</w:t>
            </w:r>
          </w:p>
        </w:tc>
        <w:tc>
          <w:tcPr>
            <w:tcW w:w="1985" w:type="dxa"/>
          </w:tcPr>
          <w:p w14:paraId="37062BC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Amministrazione cantonale delle contribuzioni, contabilità</w:t>
            </w:r>
          </w:p>
        </w:tc>
        <w:tc>
          <w:tcPr>
            <w:tcW w:w="2126" w:type="dxa"/>
          </w:tcPr>
          <w:p w14:paraId="02C9D2F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Almeno 5 anni dopo la cessazione del rapporto di lavoro (LL, OLL) </w:t>
            </w:r>
          </w:p>
        </w:tc>
        <w:tc>
          <w:tcPr>
            <w:tcW w:w="1559" w:type="dxa"/>
          </w:tcPr>
          <w:p w14:paraId="13AE787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Limitazione degli accessi </w:t>
            </w:r>
          </w:p>
        </w:tc>
        <w:tc>
          <w:tcPr>
            <w:tcW w:w="1276" w:type="dxa"/>
          </w:tcPr>
          <w:p w14:paraId="27502BF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No,</w:t>
            </w:r>
          </w:p>
          <w:p w14:paraId="49B2D508" w14:textId="77777777" w:rsidR="00D71958" w:rsidRDefault="00285DBB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eventualmente sì per i frontalieri</w:t>
            </w:r>
          </w:p>
          <w:p w14:paraId="6CA35FE2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A241F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Stato UE/SEE</w:t>
            </w:r>
          </w:p>
          <w:p w14:paraId="35CA352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Decisione di adeguatezza</w:t>
            </w:r>
          </w:p>
        </w:tc>
      </w:tr>
      <w:tr w:rsidR="00B1133F" w:rsidRPr="001B2F96" w14:paraId="6A47828A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36538742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</w:rPr>
              <w:t>Gestione dei dati di contatto</w:t>
            </w:r>
          </w:p>
          <w:p w14:paraId="3D78C957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FF0000"/>
                <w:sz w:val="16"/>
                <w:highlight w:val="lightGray"/>
              </w:rPr>
              <w:t>Avvertenza: questa attività di trattamento non deve necessariamente essere inserita nell’elenco, ma può essere utile allo studio medico stesso come ausilio.</w:t>
            </w:r>
          </w:p>
        </w:tc>
        <w:tc>
          <w:tcPr>
            <w:tcW w:w="1418" w:type="dxa"/>
          </w:tcPr>
          <w:p w14:paraId="5DD0EAB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Svolgimento dell’attività quotidiana</w:t>
            </w:r>
          </w:p>
        </w:tc>
        <w:tc>
          <w:tcPr>
            <w:tcW w:w="1418" w:type="dxa"/>
          </w:tcPr>
          <w:p w14:paraId="32C86B3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Mario Esempio</w:t>
            </w:r>
          </w:p>
          <w:p w14:paraId="4DC5A11A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1C23BE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oppure </w:t>
            </w:r>
          </w:p>
          <w:p w14:paraId="03812ED8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0DEEB5B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medico curante / nome dello studio medico</w:t>
            </w:r>
          </w:p>
        </w:tc>
        <w:tc>
          <w:tcPr>
            <w:tcW w:w="1417" w:type="dxa"/>
          </w:tcPr>
          <w:p w14:paraId="19BEE004" w14:textId="40C19B9F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Specialisti / </w:t>
            </w:r>
            <w:proofErr w:type="spellStart"/>
            <w:r>
              <w:rPr>
                <w:rFonts w:asciiTheme="majorHAnsi" w:hAnsiTheme="majorHAnsi"/>
                <w:color w:val="FF0000"/>
                <w:sz w:val="16"/>
              </w:rPr>
              <w:t>fisioterapeuti</w:t>
            </w:r>
            <w:proofErr w:type="spellEnd"/>
            <w:r w:rsidR="001B2AA6">
              <w:rPr>
                <w:rFonts w:asciiTheme="majorHAnsi" w:hAnsiTheme="majorHAnsi"/>
                <w:color w:val="FF0000"/>
                <w:sz w:val="16"/>
              </w:rPr>
              <w:t xml:space="preserve"> /</w:t>
            </w:r>
          </w:p>
          <w:p w14:paraId="4AA4B073" w14:textId="4CF923F9" w:rsidR="00B1133F" w:rsidRPr="001B2F96" w:rsidRDefault="001B2AA6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c</w:t>
            </w:r>
            <w:r w:rsidR="00267D92">
              <w:rPr>
                <w:rFonts w:asciiTheme="majorHAnsi" w:hAnsiTheme="majorHAnsi"/>
                <w:color w:val="FF0000"/>
                <w:sz w:val="16"/>
              </w:rPr>
              <w:t>ollaboratori di servizi infermieristici (ad es. Spitex) / collaboratori di ospedali / collaboratori di altri studi medici</w:t>
            </w:r>
          </w:p>
        </w:tc>
        <w:tc>
          <w:tcPr>
            <w:tcW w:w="1843" w:type="dxa"/>
          </w:tcPr>
          <w:p w14:paraId="2B12120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Dati personali, dati di contatto (numero diretto, numero di cellulare,</w:t>
            </w:r>
          </w:p>
          <w:p w14:paraId="6F4B7A9A" w14:textId="77777777" w:rsidR="00B1133F" w:rsidRPr="00D71958" w:rsidRDefault="00285DBB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indirizzo e-mail privato), dati anagrafici</w:t>
            </w:r>
          </w:p>
        </w:tc>
        <w:tc>
          <w:tcPr>
            <w:tcW w:w="1985" w:type="dxa"/>
          </w:tcPr>
          <w:p w14:paraId="3DAB45C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Nessuno</w:t>
            </w:r>
          </w:p>
        </w:tc>
        <w:tc>
          <w:tcPr>
            <w:tcW w:w="2126" w:type="dxa"/>
          </w:tcPr>
          <w:p w14:paraId="6EA0C96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 xml:space="preserve">Verifica saltuaria dell’attualità dei dati / </w:t>
            </w:r>
          </w:p>
          <w:p w14:paraId="295BFDD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in caso di cambio o uscita delle persone chiave i dati devono essere cancellati o modificati</w:t>
            </w:r>
          </w:p>
        </w:tc>
        <w:tc>
          <w:tcPr>
            <w:tcW w:w="1559" w:type="dxa"/>
          </w:tcPr>
          <w:p w14:paraId="4924FCC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Limitazione degli accessi</w:t>
            </w:r>
          </w:p>
        </w:tc>
        <w:tc>
          <w:tcPr>
            <w:tcW w:w="1276" w:type="dxa"/>
          </w:tcPr>
          <w:p w14:paraId="2B029E4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No</w:t>
            </w:r>
          </w:p>
        </w:tc>
        <w:tc>
          <w:tcPr>
            <w:tcW w:w="1276" w:type="dxa"/>
          </w:tcPr>
          <w:p w14:paraId="1E7E31C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</w:rPr>
              <w:t>-</w:t>
            </w:r>
          </w:p>
        </w:tc>
      </w:tr>
    </w:tbl>
    <w:p w14:paraId="5467E8A2" w14:textId="77777777" w:rsidR="00E4360B" w:rsidRPr="001B2F96" w:rsidRDefault="00E4360B" w:rsidP="000854DF">
      <w:pPr>
        <w:tabs>
          <w:tab w:val="left" w:pos="5340"/>
        </w:tabs>
        <w:rPr>
          <w:rFonts w:asciiTheme="majorHAnsi" w:eastAsia="Arial Unicode MS" w:hAnsiTheme="majorHAnsi" w:cstheme="majorHAnsi"/>
          <w:szCs w:val="20"/>
        </w:rPr>
        <w:sectPr w:rsidR="00E4360B" w:rsidRPr="001B2F96" w:rsidSect="005859AA">
          <w:headerReference w:type="default" r:id="rId9"/>
          <w:headerReference w:type="first" r:id="rId10"/>
          <w:type w:val="continuous"/>
          <w:pgSz w:w="16840" w:h="11900" w:orient="landscape"/>
          <w:pgMar w:top="1134" w:right="1418" w:bottom="1134" w:left="2552" w:header="709" w:footer="850" w:gutter="0"/>
          <w:cols w:space="720"/>
          <w:titlePg/>
          <w:docGrid w:linePitch="360"/>
        </w:sectPr>
      </w:pPr>
    </w:p>
    <w:p w14:paraId="31547C66" w14:textId="77777777" w:rsidR="00B1133F" w:rsidRPr="001B2F96" w:rsidRDefault="00B1133F" w:rsidP="009F33A2">
      <w:pPr>
        <w:pStyle w:val="berschrift1"/>
        <w:numPr>
          <w:ilvl w:val="0"/>
          <w:numId w:val="0"/>
        </w:numPr>
        <w:rPr>
          <w:rFonts w:asciiTheme="majorHAnsi" w:hAnsiTheme="majorHAnsi" w:cstheme="majorHAnsi"/>
          <w:b/>
        </w:rPr>
      </w:pPr>
    </w:p>
    <w:sectPr w:rsidR="00B1133F" w:rsidRPr="001B2F96" w:rsidSect="00306B83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1134" w:right="2552" w:bottom="1134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C3FD" w14:textId="77777777" w:rsidR="00F73899" w:rsidRDefault="00F73899">
      <w:r>
        <w:separator/>
      </w:r>
    </w:p>
  </w:endnote>
  <w:endnote w:type="continuationSeparator" w:id="0">
    <w:p w14:paraId="4DCB3FE8" w14:textId="77777777" w:rsidR="00F73899" w:rsidRDefault="00F7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Leelawadee UI"/>
    <w:charset w:val="00"/>
    <w:family w:val="modern"/>
    <w:pitch w:val="fixed"/>
    <w:sig w:usb0="E60022FF" w:usb1="D200F9FB" w:usb2="02000028" w:usb3="00000000" w:csb0="000001D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(body cs)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EE64" w14:textId="77777777" w:rsidR="00B1133F" w:rsidRPr="00DF7854" w:rsidRDefault="00267D92">
    <w:pPr>
      <w:pStyle w:val="HeaderFooter"/>
      <w:rPr>
        <w:rFonts w:ascii="Times New Roman" w:eastAsia="Times New Roman" w:hAnsi="Times New Roman"/>
        <w:color w:val="auto"/>
        <w:lang w:val="de-DE"/>
      </w:rPr>
    </w:pPr>
    <w:r w:rsidRPr="00DF7854">
      <w:rPr>
        <w:lang w:val="de-DE"/>
      </w:rPr>
      <w:t xml:space="preserve">Redguard AG – Suedbahnhofstrasse 17 – CH-3007 Berna – </w:t>
    </w:r>
    <w:r w:rsidR="009D2624">
      <w:fldChar w:fldCharType="begin"/>
    </w:r>
    <w:r w:rsidR="009D2624" w:rsidRPr="009D2624">
      <w:rPr>
        <w:lang w:val="de-CH"/>
      </w:rPr>
      <w:instrText>HYPERLINK "http://www.redguard.ch" \o "http://www.redguard.ch"</w:instrText>
    </w:r>
    <w:r w:rsidR="009D2624">
      <w:fldChar w:fldCharType="separate"/>
    </w:r>
    <w:r w:rsidRPr="00DF7854">
      <w:rPr>
        <w:color w:val="000099"/>
        <w:u w:val="single"/>
        <w:lang w:val="de-DE"/>
      </w:rPr>
      <w:t>www.redguard.ch</w:t>
    </w:r>
    <w:r w:rsidR="009D2624">
      <w:rPr>
        <w:color w:val="000099"/>
        <w:u w:val="single"/>
        <w:lang w:val="de-DE"/>
      </w:rPr>
      <w:fldChar w:fldCharType="end"/>
    </w:r>
    <w:r w:rsidRPr="00DF7854">
      <w:rPr>
        <w:lang w:val="de-DE"/>
      </w:rPr>
      <w:t xml:space="preserve"> - contact@redguard.ch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BC10" w14:textId="77777777" w:rsidR="00B1133F" w:rsidRDefault="009D2624" w:rsidP="00E4360B">
    <w:pPr>
      <w:pStyle w:val="HeaderFooter"/>
      <w:jc w:val="right"/>
    </w:pPr>
    <w:sdt>
      <w:sdtPr>
        <w:id w:val="1807043740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4288" w14:textId="77777777" w:rsidR="00F73899" w:rsidRDefault="00F73899">
      <w:r>
        <w:separator/>
      </w:r>
    </w:p>
  </w:footnote>
  <w:footnote w:type="continuationSeparator" w:id="0">
    <w:p w14:paraId="0D95D08E" w14:textId="77777777" w:rsidR="00F73899" w:rsidRDefault="00F7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0145" w14:textId="77777777" w:rsidR="00B1133F" w:rsidRDefault="00B1133F">
    <w:pPr>
      <w:pStyle w:val="Kopfzeile"/>
      <w:jc w:val="lef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EE2D" w14:textId="77777777" w:rsidR="005859AA" w:rsidRDefault="005859AA">
    <w:pPr>
      <w:pStyle w:val="Kopfzeile"/>
    </w:pPr>
    <w:r>
      <w:rPr>
        <w:noProof/>
        <w:lang w:val="en-US"/>
      </w:rPr>
      <w:drawing>
        <wp:anchor distT="0" distB="0" distL="114300" distR="114300" simplePos="0" relativeHeight="251685888" behindDoc="0" locked="0" layoutInCell="1" allowOverlap="1" wp14:anchorId="456DDE4C" wp14:editId="22F5EA1E">
          <wp:simplePos x="0" y="0"/>
          <wp:positionH relativeFrom="column">
            <wp:posOffset>-752475</wp:posOffset>
          </wp:positionH>
          <wp:positionV relativeFrom="paragraph">
            <wp:posOffset>-162560</wp:posOffset>
          </wp:positionV>
          <wp:extent cx="1461600" cy="698400"/>
          <wp:effectExtent l="0" t="0" r="5715" b="698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M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3E86" w14:textId="77777777" w:rsidR="00B1133F" w:rsidRDefault="00B1133F">
    <w:pPr>
      <w:pStyle w:val="Kopfzeile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2583" w14:textId="77777777" w:rsidR="00B1133F" w:rsidRDefault="00267D92">
    <w:pPr>
      <w:pStyle w:val="Kopfzeile"/>
      <w:tabs>
        <w:tab w:val="clear" w:pos="4320"/>
        <w:tab w:val="clear" w:pos="8640"/>
        <w:tab w:val="left" w:pos="86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B95"/>
    <w:multiLevelType w:val="hybridMultilevel"/>
    <w:tmpl w:val="6D3895B0"/>
    <w:lvl w:ilvl="0" w:tplc="0B867F30">
      <w:start w:val="1"/>
      <w:numFmt w:val="bullet"/>
      <w:pStyle w:val="Liste2"/>
      <w:lvlText w:val=""/>
      <w:lvlJc w:val="left"/>
      <w:pPr>
        <w:ind w:left="644" w:hanging="360"/>
      </w:pPr>
      <w:rPr>
        <w:rFonts w:ascii="Wingdings" w:hAnsi="Wingdings" w:hint="default"/>
        <w:color w:val="D81921"/>
      </w:rPr>
    </w:lvl>
    <w:lvl w:ilvl="1" w:tplc="D71A8BD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048B4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7734720E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F58E69A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53DA560E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E501078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9ED4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72D24300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C8B428E"/>
    <w:multiLevelType w:val="hybridMultilevel"/>
    <w:tmpl w:val="0E9858B0"/>
    <w:lvl w:ilvl="0" w:tplc="E1145C6A">
      <w:start w:val="1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D12AF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6A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C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08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8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A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1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5821"/>
    <w:multiLevelType w:val="multilevel"/>
    <w:tmpl w:val="7DF470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A26DE8"/>
    <w:multiLevelType w:val="hybridMultilevel"/>
    <w:tmpl w:val="5A8E6472"/>
    <w:lvl w:ilvl="0" w:tplc="DBCA8608">
      <w:start w:val="1"/>
      <w:numFmt w:val="bullet"/>
      <w:pStyle w:val="Liste5"/>
      <w:lvlText w:val=""/>
      <w:lvlJc w:val="left"/>
      <w:pPr>
        <w:ind w:left="1494" w:hanging="360"/>
      </w:pPr>
      <w:rPr>
        <w:rFonts w:ascii="Wingdings" w:hAnsi="Wingdings" w:hint="default"/>
        <w:color w:val="D81921"/>
      </w:rPr>
    </w:lvl>
    <w:lvl w:ilvl="1" w:tplc="82C41FC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D14F8C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58CFDC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4AC46E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7869A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9A4BF6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25A5A4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7A0C5E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8723ABD"/>
    <w:multiLevelType w:val="hybridMultilevel"/>
    <w:tmpl w:val="58C05716"/>
    <w:lvl w:ilvl="0" w:tplc="7B12DD28">
      <w:start w:val="1"/>
      <w:numFmt w:val="bullet"/>
      <w:pStyle w:val="Liste3"/>
      <w:lvlText w:val=""/>
      <w:lvlJc w:val="left"/>
      <w:pPr>
        <w:ind w:left="927" w:hanging="360"/>
      </w:pPr>
      <w:rPr>
        <w:rFonts w:ascii="Wingdings" w:hAnsi="Wingdings" w:hint="default"/>
        <w:color w:val="D81921"/>
      </w:rPr>
    </w:lvl>
    <w:lvl w:ilvl="1" w:tplc="FE3AA520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5EA0900E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CC7E9F60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A0D8ED92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8ACE771A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B5FAE9E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DEF62330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5B9611C6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45896D5B"/>
    <w:multiLevelType w:val="hybridMultilevel"/>
    <w:tmpl w:val="30048CE0"/>
    <w:lvl w:ilvl="0" w:tplc="0832A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CE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0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0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5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CD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335BA"/>
    <w:multiLevelType w:val="hybridMultilevel"/>
    <w:tmpl w:val="98F0BE04"/>
    <w:lvl w:ilvl="0" w:tplc="2DB4CBB2">
      <w:start w:val="1"/>
      <w:numFmt w:val="bullet"/>
      <w:pStyle w:val="Liste4"/>
      <w:lvlText w:val=""/>
      <w:lvlJc w:val="left"/>
      <w:pPr>
        <w:ind w:left="1211" w:hanging="360"/>
      </w:pPr>
      <w:rPr>
        <w:rFonts w:ascii="Wingdings" w:hAnsi="Wingdings" w:hint="default"/>
        <w:color w:val="D81921"/>
      </w:rPr>
    </w:lvl>
    <w:lvl w:ilvl="1" w:tplc="FD80CD22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2F8C9092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9EFA55CA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B63EF8BE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D768FB2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C7843FE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BB4E4496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AD6CB092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4FB33C3F"/>
    <w:multiLevelType w:val="hybridMultilevel"/>
    <w:tmpl w:val="01F09186"/>
    <w:styleLink w:val="ListeRedguard"/>
    <w:lvl w:ilvl="0" w:tplc="5EFC3DEA">
      <w:start w:val="1"/>
      <w:numFmt w:val="decimal"/>
      <w:pStyle w:val="ListeRedguard"/>
      <w:lvlText w:val="%1"/>
      <w:lvlJc w:val="left"/>
      <w:pPr>
        <w:ind w:left="720" w:hanging="360"/>
      </w:pPr>
      <w:rPr>
        <w:rFonts w:ascii="Helvetica Neue" w:hAnsi="Helvetica Neue" w:hint="default"/>
        <w:color w:val="C00000"/>
        <w:sz w:val="28"/>
      </w:rPr>
    </w:lvl>
    <w:lvl w:ilvl="1" w:tplc="C2DABADA">
      <w:start w:val="1"/>
      <w:numFmt w:val="lowerLetter"/>
      <w:lvlText w:val="%2."/>
      <w:lvlJc w:val="left"/>
      <w:pPr>
        <w:ind w:left="1440" w:hanging="360"/>
      </w:pPr>
    </w:lvl>
    <w:lvl w:ilvl="2" w:tplc="C5861E18">
      <w:start w:val="1"/>
      <w:numFmt w:val="lowerRoman"/>
      <w:lvlText w:val="%3."/>
      <w:lvlJc w:val="right"/>
      <w:pPr>
        <w:ind w:left="2160" w:hanging="180"/>
      </w:pPr>
    </w:lvl>
    <w:lvl w:ilvl="3" w:tplc="D326E99A">
      <w:start w:val="1"/>
      <w:numFmt w:val="decimal"/>
      <w:lvlText w:val="%4."/>
      <w:lvlJc w:val="left"/>
      <w:pPr>
        <w:ind w:left="2880" w:hanging="360"/>
      </w:pPr>
    </w:lvl>
    <w:lvl w:ilvl="4" w:tplc="5934744E">
      <w:start w:val="1"/>
      <w:numFmt w:val="lowerLetter"/>
      <w:lvlText w:val="%5."/>
      <w:lvlJc w:val="left"/>
      <w:pPr>
        <w:ind w:left="3600" w:hanging="360"/>
      </w:pPr>
    </w:lvl>
    <w:lvl w:ilvl="5" w:tplc="55BC947E">
      <w:start w:val="1"/>
      <w:numFmt w:val="lowerRoman"/>
      <w:lvlText w:val="%6."/>
      <w:lvlJc w:val="right"/>
      <w:pPr>
        <w:ind w:left="4320" w:hanging="180"/>
      </w:pPr>
    </w:lvl>
    <w:lvl w:ilvl="6" w:tplc="3D5C427E">
      <w:start w:val="1"/>
      <w:numFmt w:val="decimal"/>
      <w:lvlText w:val="%7."/>
      <w:lvlJc w:val="left"/>
      <w:pPr>
        <w:ind w:left="5040" w:hanging="360"/>
      </w:pPr>
    </w:lvl>
    <w:lvl w:ilvl="7" w:tplc="332CADB6">
      <w:start w:val="1"/>
      <w:numFmt w:val="lowerLetter"/>
      <w:lvlText w:val="%8."/>
      <w:lvlJc w:val="left"/>
      <w:pPr>
        <w:ind w:left="5760" w:hanging="360"/>
      </w:pPr>
    </w:lvl>
    <w:lvl w:ilvl="8" w:tplc="CC488E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36F4"/>
    <w:multiLevelType w:val="hybridMultilevel"/>
    <w:tmpl w:val="E7287CF0"/>
    <w:lvl w:ilvl="0" w:tplc="7F905496">
      <w:start w:val="1"/>
      <w:numFmt w:val="bullet"/>
      <w:pStyle w:val="Liste"/>
      <w:lvlText w:val=""/>
      <w:lvlJc w:val="left"/>
      <w:pPr>
        <w:ind w:left="360" w:hanging="360"/>
      </w:pPr>
      <w:rPr>
        <w:rFonts w:ascii="Wingdings" w:hAnsi="Wingdings" w:hint="default"/>
        <w:color w:val="D81921"/>
      </w:rPr>
    </w:lvl>
    <w:lvl w:ilvl="1" w:tplc="7E8C4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26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1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4439">
    <w:abstractNumId w:val="2"/>
  </w:num>
  <w:num w:numId="2" w16cid:durableId="1392919100">
    <w:abstractNumId w:val="7"/>
  </w:num>
  <w:num w:numId="3" w16cid:durableId="521868202">
    <w:abstractNumId w:val="8"/>
  </w:num>
  <w:num w:numId="4" w16cid:durableId="1068262097">
    <w:abstractNumId w:val="0"/>
  </w:num>
  <w:num w:numId="5" w16cid:durableId="634140796">
    <w:abstractNumId w:val="4"/>
  </w:num>
  <w:num w:numId="6" w16cid:durableId="1487434704">
    <w:abstractNumId w:val="6"/>
  </w:num>
  <w:num w:numId="7" w16cid:durableId="557865685">
    <w:abstractNumId w:val="3"/>
  </w:num>
  <w:num w:numId="8" w16cid:durableId="1699812627">
    <w:abstractNumId w:val="5"/>
  </w:num>
  <w:num w:numId="9" w16cid:durableId="14959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3F"/>
    <w:rsid w:val="00027142"/>
    <w:rsid w:val="00057EE1"/>
    <w:rsid w:val="000854DF"/>
    <w:rsid w:val="000A4952"/>
    <w:rsid w:val="000A697C"/>
    <w:rsid w:val="001407EE"/>
    <w:rsid w:val="00154DDE"/>
    <w:rsid w:val="001A6102"/>
    <w:rsid w:val="001B2AA6"/>
    <w:rsid w:val="001B2F96"/>
    <w:rsid w:val="002223B2"/>
    <w:rsid w:val="00267D92"/>
    <w:rsid w:val="00285DBB"/>
    <w:rsid w:val="00306B83"/>
    <w:rsid w:val="00313DFD"/>
    <w:rsid w:val="00331528"/>
    <w:rsid w:val="00355BF9"/>
    <w:rsid w:val="003B3F0D"/>
    <w:rsid w:val="003B66CA"/>
    <w:rsid w:val="003E3F0C"/>
    <w:rsid w:val="00453907"/>
    <w:rsid w:val="00460615"/>
    <w:rsid w:val="004E0BB7"/>
    <w:rsid w:val="0053625A"/>
    <w:rsid w:val="005859AA"/>
    <w:rsid w:val="005A1337"/>
    <w:rsid w:val="005B2A9C"/>
    <w:rsid w:val="005E1B91"/>
    <w:rsid w:val="005E4ACF"/>
    <w:rsid w:val="00636AA9"/>
    <w:rsid w:val="00644A24"/>
    <w:rsid w:val="00691C5E"/>
    <w:rsid w:val="00761F7B"/>
    <w:rsid w:val="00763EC4"/>
    <w:rsid w:val="00780E6C"/>
    <w:rsid w:val="00857FD8"/>
    <w:rsid w:val="008678CF"/>
    <w:rsid w:val="00890BB6"/>
    <w:rsid w:val="008A4EB2"/>
    <w:rsid w:val="008B0B49"/>
    <w:rsid w:val="008B4C4F"/>
    <w:rsid w:val="009337A5"/>
    <w:rsid w:val="00991E66"/>
    <w:rsid w:val="009D2624"/>
    <w:rsid w:val="009F33A2"/>
    <w:rsid w:val="00A0127F"/>
    <w:rsid w:val="00A918F9"/>
    <w:rsid w:val="00A966DF"/>
    <w:rsid w:val="00AA699B"/>
    <w:rsid w:val="00B1133F"/>
    <w:rsid w:val="00B96275"/>
    <w:rsid w:val="00BF2F8E"/>
    <w:rsid w:val="00C23114"/>
    <w:rsid w:val="00CA2A8A"/>
    <w:rsid w:val="00D02A34"/>
    <w:rsid w:val="00D46134"/>
    <w:rsid w:val="00D552D1"/>
    <w:rsid w:val="00D71958"/>
    <w:rsid w:val="00DF7854"/>
    <w:rsid w:val="00E4360B"/>
    <w:rsid w:val="00EA7CA6"/>
    <w:rsid w:val="00EC0AD0"/>
    <w:rsid w:val="00EC57EC"/>
    <w:rsid w:val="00F16D19"/>
    <w:rsid w:val="00F25E6D"/>
    <w:rsid w:val="00F73899"/>
    <w:rsid w:val="00FA1FEC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17D970"/>
  <w15:docId w15:val="{5EF1A358-6441-B449-8DAD-29A4AEE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312" w:lineRule="auto"/>
      <w:jc w:val="both"/>
    </w:pPr>
    <w:rPr>
      <w:rFonts w:ascii="Helvetica Neue" w:hAnsi="Helvetica Neue"/>
      <w:color w:val="313130"/>
      <w:sz w:val="18"/>
      <w:szCs w:val="24"/>
    </w:rPr>
  </w:style>
  <w:style w:type="paragraph" w:styleId="berschrift1">
    <w:name w:val="heading 1"/>
    <w:basedOn w:val="Standard"/>
    <w:next w:val="Body"/>
    <w:link w:val="berschrift1Zchn"/>
    <w:qFormat/>
    <w:pPr>
      <w:keepNext/>
      <w:keepLines/>
      <w:pageBreakBefore/>
      <w:numPr>
        <w:numId w:val="1"/>
      </w:numPr>
      <w:spacing w:before="480" w:after="240"/>
      <w:ind w:left="431" w:hanging="431"/>
      <w:outlineLvl w:val="0"/>
    </w:pPr>
    <w:rPr>
      <w:bCs/>
      <w:color w:val="D81921"/>
      <w:sz w:val="26"/>
      <w:szCs w:val="28"/>
    </w:rPr>
  </w:style>
  <w:style w:type="paragraph" w:styleId="berschrift2">
    <w:name w:val="heading 2"/>
    <w:basedOn w:val="Standard"/>
    <w:next w:val="Body"/>
    <w:link w:val="berschrift2Zchn"/>
    <w:qFormat/>
    <w:pPr>
      <w:keepNext/>
      <w:keepLines/>
      <w:numPr>
        <w:ilvl w:val="1"/>
        <w:numId w:val="1"/>
      </w:numPr>
      <w:spacing w:before="200" w:after="100"/>
      <w:outlineLvl w:val="1"/>
    </w:pPr>
    <w:rPr>
      <w:b/>
      <w:bCs/>
      <w:sz w:val="22"/>
      <w:szCs w:val="26"/>
    </w:rPr>
  </w:style>
  <w:style w:type="paragraph" w:styleId="berschrift3">
    <w:name w:val="heading 3"/>
    <w:basedOn w:val="Body"/>
    <w:next w:val="Body"/>
    <w:link w:val="berschrift3Zchn"/>
    <w:qFormat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  <w:color w:val="auto"/>
    </w:rPr>
  </w:style>
  <w:style w:type="paragraph" w:styleId="berschrift4">
    <w:name w:val="heading 4"/>
    <w:basedOn w:val="Body"/>
    <w:next w:val="Body"/>
    <w:link w:val="berschrift4Zchn"/>
    <w:qFormat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  <w:color w:val="auto"/>
    </w:rPr>
  </w:style>
  <w:style w:type="paragraph" w:styleId="berschrift5">
    <w:name w:val="heading 5"/>
    <w:basedOn w:val="Body"/>
    <w:next w:val="Standard"/>
    <w:link w:val="berschrift5Zchn"/>
    <w:qFormat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i/>
      <w:color w:val="auto"/>
    </w:rPr>
  </w:style>
  <w:style w:type="paragraph" w:styleId="berschrift6">
    <w:name w:val="heading 6"/>
    <w:basedOn w:val="Standard"/>
    <w:next w:val="Standard"/>
    <w:link w:val="berschrift6Zchn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Times New Roman" w:hAnsi="Times New Roman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="Times New Roman" w:hAnsi="Times New Roman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="Times New Roman" w:hAnsi="Times New Roman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="Times New Roman" w:hAnsi="Times New Roman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CaptionChar">
    <w:name w:val="Caption Char"/>
    <w:uiPriority w:val="99"/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erFooter">
    <w:name w:val="Header &amp; Footer"/>
    <w:pPr>
      <w:tabs>
        <w:tab w:val="right" w:pos="9632"/>
      </w:tabs>
      <w:spacing w:before="120"/>
      <w:jc w:val="center"/>
    </w:pPr>
    <w:rPr>
      <w:rFonts w:ascii="Helvetica Neue" w:eastAsia="Arial Unicode MS" w:hAnsi="Helvetica Neue"/>
      <w:color w:val="7F7F7F" w:themeColor="text1" w:themeTint="80"/>
      <w:sz w:val="17"/>
    </w:rPr>
  </w:style>
  <w:style w:type="paragraph" w:customStyle="1" w:styleId="Body">
    <w:name w:val="Body"/>
    <w:pPr>
      <w:spacing w:after="120" w:line="312" w:lineRule="auto"/>
    </w:pPr>
    <w:rPr>
      <w:rFonts w:ascii="Helvetica Neue" w:eastAsia="Arial Unicode MS" w:hAnsi="Helvetica Neue"/>
      <w:color w:val="313130"/>
      <w:sz w:val="18"/>
    </w:rPr>
  </w:style>
  <w:style w:type="paragraph" w:customStyle="1" w:styleId="FreeForm">
    <w:name w:val="Free Form"/>
    <w:semiHidden/>
    <w:rPr>
      <w:rFonts w:ascii="Helvetica Neue" w:eastAsia="Arial Unicode MS" w:hAnsi="Helvetica Neue"/>
      <w:color w:val="313130"/>
      <w:sz w:val="24"/>
    </w:rPr>
  </w:style>
  <w:style w:type="paragraph" w:styleId="Kopfzeile">
    <w:name w:val="header"/>
    <w:basedOn w:val="Standard"/>
    <w:link w:val="KopfzeileZchn"/>
    <w:semiHidden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semiHidden/>
    <w:rPr>
      <w:rFonts w:ascii="Helvetica Neue" w:hAnsi="Helvetica Neue"/>
      <w:color w:val="313130"/>
      <w:sz w:val="18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rFonts w:ascii="Helvetica Neue" w:hAnsi="Helvetica Neue"/>
      <w:color w:val="313130"/>
      <w:sz w:val="18"/>
      <w:szCs w:val="24"/>
      <w:lang w:val="it-IT"/>
    </w:rPr>
  </w:style>
  <w:style w:type="character" w:styleId="Hyperlink">
    <w:name w:val="Hyperlink"/>
    <w:basedOn w:val="Absatz-Standardschriftart"/>
    <w:uiPriority w:val="99"/>
    <w:rPr>
      <w:color w:val="B31218"/>
      <w:u w:val="none"/>
      <w:lang w:val="it-IT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313130"/>
      <w:sz w:val="16"/>
      <w:szCs w:val="16"/>
    </w:rPr>
  </w:style>
  <w:style w:type="character" w:customStyle="1" w:styleId="Bold">
    <w:name w:val="Bold"/>
    <w:basedOn w:val="Absatz-Standardschriftart"/>
    <w:uiPriority w:val="1"/>
    <w:semiHidden/>
    <w:qFormat/>
    <w:rPr>
      <w:b/>
    </w:rPr>
  </w:style>
  <w:style w:type="paragraph" w:customStyle="1" w:styleId="AddressHead">
    <w:name w:val="Address Head"/>
    <w:basedOn w:val="Body"/>
    <w:qFormat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200"/>
    </w:pPr>
    <w:rPr>
      <w:sz w:val="14"/>
      <w:szCs w:val="14"/>
      <w:u w:val="single"/>
    </w:rPr>
  </w:style>
  <w:style w:type="paragraph" w:customStyle="1" w:styleId="Address">
    <w:name w:val="Address"/>
    <w:qFormat/>
    <w:pPr>
      <w:spacing w:line="264" w:lineRule="auto"/>
      <w:jc w:val="both"/>
    </w:pPr>
    <w:rPr>
      <w:rFonts w:ascii="Helvetica Neue" w:eastAsia="Arial Unicode MS" w:hAnsi="Helvetica Neue"/>
      <w:color w:val="313130"/>
      <w:sz w:val="24"/>
      <w:szCs w:val="28"/>
    </w:rPr>
  </w:style>
  <w:style w:type="character" w:customStyle="1" w:styleId="berschrift1Zchn">
    <w:name w:val="Überschrift 1 Zchn"/>
    <w:basedOn w:val="Absatz-Standardschriftart"/>
    <w:link w:val="berschrift1"/>
    <w:rPr>
      <w:rFonts w:ascii="Helvetica Neue" w:hAnsi="Helvetica Neue"/>
      <w:bCs/>
      <w:color w:val="D81921"/>
      <w:sz w:val="26"/>
      <w:szCs w:val="28"/>
      <w:lang w:val="it-IT"/>
    </w:rPr>
  </w:style>
  <w:style w:type="character" w:customStyle="1" w:styleId="berschrift2Zchn">
    <w:name w:val="Überschrift 2 Zchn"/>
    <w:basedOn w:val="Absatz-Standardschriftart"/>
    <w:link w:val="berschrift2"/>
    <w:rPr>
      <w:rFonts w:ascii="Helvetica Neue" w:hAnsi="Helvetica Neue"/>
      <w:b/>
      <w:bCs/>
      <w:color w:val="313130"/>
      <w:sz w:val="22"/>
      <w:szCs w:val="26"/>
      <w:lang w:val="it-IT"/>
    </w:rPr>
  </w:style>
  <w:style w:type="character" w:customStyle="1" w:styleId="berschrift3Zchn">
    <w:name w:val="Überschrift 3 Zchn"/>
    <w:basedOn w:val="Absatz-Standardschriftart"/>
    <w:link w:val="berschrift3"/>
    <w:rPr>
      <w:rFonts w:ascii="Helvetica Neue" w:hAnsi="Helvetica Neue"/>
      <w:b/>
      <w:bCs/>
      <w:sz w:val="18"/>
      <w:lang w:val="it-IT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paragraph" w:customStyle="1" w:styleId="Quellcode">
    <w:name w:val="Quellcode"/>
    <w:basedOn w:val="Body"/>
    <w:qFormat/>
    <w:pPr>
      <w:shd w:val="clear" w:color="auto" w:fill="F9F9FB"/>
      <w:spacing w:after="0" w:line="240" w:lineRule="auto"/>
    </w:pPr>
    <w:rPr>
      <w:rFonts w:ascii="Menlo" w:hAnsi="Menlo"/>
    </w:rPr>
  </w:style>
  <w:style w:type="numbering" w:customStyle="1" w:styleId="ListeRedguard">
    <w:name w:val="ListeRedguard"/>
    <w:uiPriority w:val="99"/>
    <w:pPr>
      <w:numPr>
        <w:numId w:val="2"/>
      </w:numPr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Formatvorlage1">
    <w:name w:val="Formatvorlage1"/>
    <w:basedOn w:val="FarbigeListe-Akzent1"/>
    <w:uiPriority w:val="99"/>
    <w:rPr>
      <w:rFonts w:ascii="Helvetica Neue" w:hAnsi="Helvetica Neue"/>
      <w:lang w:val="en-US" w:eastAsia="de-DE"/>
    </w:rPr>
    <w:tblPr/>
    <w:tcPr>
      <w:shd w:val="clear" w:color="auto" w:fill="C00000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</w:tcBorders>
        <w:shd w:val="clear" w:color="auto" w:fill="B8CCE4" w:themeFill="accent1" w:themeFillTint="6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Redguard1">
    <w:name w:val="Tabelle Redguard 1"/>
    <w:basedOn w:val="NormaleTabelle"/>
    <w:uiPriority w:val="99"/>
    <w:pPr>
      <w:spacing w:before="60" w:after="60" w:line="288" w:lineRule="auto"/>
    </w:pPr>
    <w:rPr>
      <w:rFonts w:ascii="Helvetica Neue" w:hAnsi="Helvetica Neue"/>
      <w:sz w:val="18"/>
    </w:rPr>
    <w:tblPr>
      <w:tblInd w:w="85" w:type="dxa"/>
      <w:tblBorders>
        <w:insideH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tcBorders>
          <w:left w:val="single" w:sz="4" w:space="0" w:color="BFBFBF" w:themeColor="background1" w:themeShade="BF"/>
          <w:bottom w:val="none" w:sz="4" w:space="0" w:color="000000"/>
          <w:insideV w:val="single" w:sz="4" w:space="0" w:color="BFBFBF" w:themeColor="background1" w:themeShade="BF"/>
        </w:tcBorders>
      </w:tcPr>
    </w:tblStylePr>
  </w:style>
  <w:style w:type="table" w:styleId="FarbigeListe-Akzent1">
    <w:name w:val="Colorful List Accent 1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pPr>
      <w:spacing w:line="276" w:lineRule="auto"/>
      <w:outlineLvl w:val="9"/>
    </w:pPr>
  </w:style>
  <w:style w:type="paragraph" w:styleId="Verzeichnis1">
    <w:name w:val="toc 1"/>
    <w:basedOn w:val="Standard"/>
    <w:next w:val="Standard"/>
    <w:uiPriority w:val="39"/>
    <w:pPr>
      <w:tabs>
        <w:tab w:val="left" w:pos="340"/>
        <w:tab w:val="right" w:leader="dot" w:pos="9622"/>
      </w:tabs>
      <w:spacing w:before="120" w:after="0"/>
    </w:pPr>
  </w:style>
  <w:style w:type="paragraph" w:styleId="Verzeichnis2">
    <w:name w:val="toc 2"/>
    <w:basedOn w:val="Standard"/>
    <w:next w:val="Standard"/>
    <w:uiPriority w:val="39"/>
    <w:pPr>
      <w:spacing w:after="0"/>
      <w:ind w:left="180"/>
    </w:pPr>
    <w:rPr>
      <w:szCs w:val="22"/>
    </w:rPr>
  </w:style>
  <w:style w:type="paragraph" w:styleId="Liste">
    <w:name w:val="List"/>
    <w:basedOn w:val="Body"/>
    <w:pPr>
      <w:numPr>
        <w:numId w:val="3"/>
      </w:numPr>
      <w:ind w:left="284" w:hanging="284"/>
      <w:contextualSpacing/>
    </w:pPr>
  </w:style>
  <w:style w:type="paragraph" w:styleId="Liste2">
    <w:name w:val="List 2"/>
    <w:basedOn w:val="Body"/>
    <w:pPr>
      <w:numPr>
        <w:numId w:val="4"/>
      </w:numPr>
      <w:ind w:left="568" w:hanging="284"/>
      <w:contextualSpacing/>
    </w:pPr>
  </w:style>
  <w:style w:type="paragraph" w:styleId="Liste3">
    <w:name w:val="List 3"/>
    <w:basedOn w:val="Body"/>
    <w:pPr>
      <w:numPr>
        <w:numId w:val="5"/>
      </w:numPr>
      <w:ind w:left="851" w:hanging="284"/>
      <w:contextualSpacing/>
    </w:pPr>
  </w:style>
  <w:style w:type="paragraph" w:styleId="Liste4">
    <w:name w:val="List 4"/>
    <w:basedOn w:val="Body"/>
    <w:pPr>
      <w:numPr>
        <w:numId w:val="6"/>
      </w:numPr>
      <w:ind w:left="1135" w:hanging="284"/>
      <w:contextualSpacing/>
    </w:pPr>
  </w:style>
  <w:style w:type="paragraph" w:styleId="Liste5">
    <w:name w:val="List 5"/>
    <w:basedOn w:val="Body"/>
    <w:pPr>
      <w:numPr>
        <w:numId w:val="7"/>
      </w:numPr>
      <w:ind w:left="1418" w:hanging="284"/>
      <w:contextualSpacing/>
    </w:pPr>
  </w:style>
  <w:style w:type="character" w:customStyle="1" w:styleId="berschrift4Zchn">
    <w:name w:val="Überschrift 4 Zchn"/>
    <w:basedOn w:val="Absatz-Standardschriftart"/>
    <w:link w:val="berschrift4"/>
    <w:rPr>
      <w:rFonts w:ascii="Helvetica Neue" w:hAnsi="Helvetica Neue"/>
      <w:b/>
      <w:bCs/>
      <w:iCs/>
      <w:sz w:val="18"/>
      <w:lang w:val="it-IT"/>
    </w:rPr>
  </w:style>
  <w:style w:type="character" w:styleId="Hervorhebung">
    <w:name w:val="Emphasis"/>
    <w:qFormat/>
    <w:rPr>
      <w:b/>
      <w:iCs/>
      <w:color w:val="313130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Kursiv">
    <w:name w:val="Kursiv"/>
    <w:uiPriority w:val="1"/>
    <w:qFormat/>
    <w:rPr>
      <w:rFonts w:ascii="Helvetica Neue Light" w:hAnsi="Helvetica Neue Light"/>
    </w:rPr>
  </w:style>
  <w:style w:type="paragraph" w:customStyle="1" w:styleId="Separator">
    <w:name w:val="Separator"/>
    <w:next w:val="Body"/>
    <w:qFormat/>
    <w:pPr>
      <w:pBdr>
        <w:bottom w:val="single" w:sz="4" w:space="1" w:color="D81921"/>
      </w:pBdr>
      <w:spacing w:before="480"/>
    </w:pPr>
    <w:rPr>
      <w:rFonts w:ascii="Helvetica Neue" w:eastAsia="Arial Unicode MS" w:hAnsi="Helvetica Neue"/>
      <w:color w:val="313130"/>
      <w:sz w:val="18"/>
    </w:rPr>
  </w:style>
  <w:style w:type="paragraph" w:styleId="Funotentext">
    <w:name w:val="footnote text"/>
    <w:basedOn w:val="Body"/>
    <w:link w:val="FunotentextZchn"/>
    <w:pPr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Pr>
      <w:rFonts w:ascii="Helvetica Neue" w:eastAsia="Arial Unicode MS" w:hAnsi="Helvetica Neue"/>
      <w:color w:val="313130"/>
      <w:sz w:val="16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HTMLCode">
    <w:name w:val="HTML Code"/>
    <w:basedOn w:val="Absatz-Standardschriftart"/>
    <w:semiHidden/>
    <w:rPr>
      <w:rFonts w:ascii="Menlo" w:hAnsi="Menlo" w:cs="Consolas"/>
      <w:sz w:val="18"/>
      <w:szCs w:val="20"/>
    </w:rPr>
  </w:style>
  <w:style w:type="character" w:customStyle="1" w:styleId="berschrift5Zchn">
    <w:name w:val="Überschrift 5 Zchn"/>
    <w:basedOn w:val="Absatz-Standardschriftart"/>
    <w:link w:val="berschrift5"/>
    <w:rPr>
      <w:rFonts w:ascii="Helvetica Neue" w:hAnsi="Helvetica Neue"/>
      <w:i/>
      <w:sz w:val="18"/>
      <w:lang w:val="it-IT"/>
    </w:rPr>
  </w:style>
  <w:style w:type="paragraph" w:styleId="Titel">
    <w:name w:val="Title"/>
    <w:basedOn w:val="Standard"/>
    <w:next w:val="Standard"/>
    <w:link w:val="TitelZchn"/>
    <w:semiHidden/>
    <w:qFormat/>
    <w:pPr>
      <w:spacing w:after="300"/>
      <w:contextualSpacing/>
    </w:pPr>
    <w:rPr>
      <w:color w:val="D8192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Pr>
      <w:rFonts w:ascii="Helvetica Neue" w:eastAsia="Times New Roman" w:hAnsi="Helvetica Neue" w:cs="Times New Roman"/>
      <w:color w:val="D81921"/>
      <w:spacing w:val="5"/>
      <w:sz w:val="52"/>
      <w:szCs w:val="52"/>
    </w:rPr>
  </w:style>
  <w:style w:type="paragraph" w:customStyle="1" w:styleId="TabelleRedguardKopf">
    <w:name w:val="Tabelle Redguard Kopf"/>
    <w:qFormat/>
    <w:rPr>
      <w:rFonts w:ascii="Helvetica Neue Light" w:eastAsia="Arial Unicode MS" w:hAnsi="Helvetica Neue Light"/>
      <w:b/>
      <w:color w:val="313130"/>
      <w:sz w:val="18"/>
    </w:rPr>
  </w:style>
  <w:style w:type="paragraph" w:customStyle="1" w:styleId="TabelleRedguardBody">
    <w:name w:val="Tabelle Redguard Body"/>
    <w:qFormat/>
    <w:pPr>
      <w:spacing w:before="60" w:after="60"/>
    </w:pPr>
    <w:rPr>
      <w:rFonts w:ascii="Helvetica Neue Light" w:eastAsia="Arial Unicode MS" w:hAnsi="Helvetica Neue Light"/>
      <w:color w:val="313130"/>
      <w:sz w:val="18"/>
    </w:rPr>
  </w:style>
  <w:style w:type="paragraph" w:styleId="Beschriftung">
    <w:name w:val="caption"/>
    <w:basedOn w:val="Body"/>
    <w:next w:val="Standard"/>
    <w:qFormat/>
    <w:pPr>
      <w:spacing w:before="120" w:after="200"/>
    </w:pPr>
    <w:rPr>
      <w:bCs/>
      <w:i/>
      <w:sz w:val="14"/>
      <w:szCs w:val="18"/>
    </w:rPr>
  </w:style>
  <w:style w:type="table" w:styleId="TabelleRaster8">
    <w:name w:val="Table Grid 8"/>
    <w:basedOn w:val="NormaleTabell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eRedguardVertikal">
    <w:name w:val="Tabelle Redguard Vertikal"/>
    <w:basedOn w:val="NormaleTabelle"/>
    <w:uiPriority w:val="99"/>
    <w:pPr>
      <w:spacing w:before="60" w:after="60" w:line="288" w:lineRule="auto"/>
    </w:pPr>
    <w:rPr>
      <w:rFonts w:ascii="Helvetica Neue" w:hAnsi="Helvetica Neue"/>
      <w:sz w:val="18"/>
    </w:rPr>
    <w:tblPr>
      <w:tblInd w:w="85" w:type="dxa"/>
      <w:tblBorders>
        <w:insideV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4" w:space="0" w:color="D81921"/>
        </w:tcBorders>
        <w:shd w:val="clear" w:color="auto" w:fill="auto"/>
      </w:tcPr>
    </w:tblStylePr>
  </w:style>
  <w:style w:type="table" w:styleId="Tabelle3D-Effekt2">
    <w:name w:val="Table 3D effects 2"/>
    <w:basedOn w:val="NormaleTabelle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Zitat">
    <w:name w:val="Quote"/>
    <w:next w:val="Standard"/>
    <w:link w:val="ZitatZchn"/>
    <w:uiPriority w:val="29"/>
    <w:qFormat/>
    <w:pPr>
      <w:pBdr>
        <w:left w:val="single" w:sz="18" w:space="11" w:color="D81921"/>
      </w:pBdr>
      <w:spacing w:before="120" w:after="120"/>
      <w:ind w:left="284"/>
    </w:pPr>
    <w:rPr>
      <w:rFonts w:ascii="Helvetica Neue" w:eastAsia="Arial Unicode MS" w:hAnsi="Helvetica Neue"/>
      <w:i/>
      <w:iCs/>
      <w:color w:val="313130"/>
      <w:sz w:val="18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Helvetica Neue" w:eastAsia="Arial Unicode MS" w:hAnsi="Helvetica Neue"/>
      <w:i/>
      <w:iCs/>
      <w:color w:val="313130"/>
      <w:sz w:val="18"/>
      <w:lang w:val="it-IT"/>
    </w:rPr>
  </w:style>
  <w:style w:type="character" w:customStyle="1" w:styleId="Quelle">
    <w:name w:val="Quelle"/>
    <w:uiPriority w:val="1"/>
    <w:qFormat/>
    <w:rPr>
      <w:color w:val="808080" w:themeColor="background1" w:themeShade="80"/>
      <w:spacing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table" w:customStyle="1" w:styleId="TabelleRedguardHorizontal">
    <w:name w:val="Tabelle Redguard Horizontal"/>
    <w:basedOn w:val="NormaleTabelle"/>
    <w:uiPriority w:val="99"/>
    <w:pPr>
      <w:spacing w:before="60" w:after="60" w:line="288" w:lineRule="auto"/>
    </w:pPr>
    <w:rPr>
      <w:rFonts w:ascii="Helvetica Neue" w:hAnsi="Helvetica Neue"/>
      <w:sz w:val="18"/>
    </w:rPr>
    <w:tblPr>
      <w:tblInd w:w="85" w:type="dxa"/>
      <w:tblBorders>
        <w:insideH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D8192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uto"/>
      </w:tcPr>
    </w:tblStylePr>
  </w:style>
  <w:style w:type="character" w:customStyle="1" w:styleId="berschrift6Zchn">
    <w:name w:val="Überschrift 6 Zchn"/>
    <w:basedOn w:val="Absatz-Standardschriftart"/>
    <w:link w:val="berschrift6"/>
    <w:rPr>
      <w:i/>
      <w:iCs/>
      <w:color w:val="243F60" w:themeColor="accent1" w:themeShade="7F"/>
      <w:sz w:val="18"/>
      <w:szCs w:val="24"/>
      <w:lang w:val="it-IT"/>
    </w:rPr>
  </w:style>
  <w:style w:type="character" w:customStyle="1" w:styleId="berschrift7Zchn">
    <w:name w:val="Überschrift 7 Zchn"/>
    <w:basedOn w:val="Absatz-Standardschriftart"/>
    <w:link w:val="berschrift7"/>
    <w:semiHidden/>
    <w:rPr>
      <w:i/>
      <w:iCs/>
      <w:color w:val="404040" w:themeColor="text1" w:themeTint="BF"/>
      <w:sz w:val="18"/>
      <w:szCs w:val="24"/>
      <w:lang w:val="it-IT"/>
    </w:rPr>
  </w:style>
  <w:style w:type="character" w:customStyle="1" w:styleId="berschrift8Zchn">
    <w:name w:val="Überschrift 8 Zchn"/>
    <w:basedOn w:val="Absatz-Standardschriftart"/>
    <w:link w:val="berschrift8"/>
    <w:semiHidden/>
    <w:rPr>
      <w:color w:val="404040" w:themeColor="text1" w:themeTint="BF"/>
      <w:lang w:val="it-IT"/>
    </w:rPr>
  </w:style>
  <w:style w:type="character" w:customStyle="1" w:styleId="berschrift9Zchn">
    <w:name w:val="Überschrift 9 Zchn"/>
    <w:basedOn w:val="Absatz-Standardschriftart"/>
    <w:link w:val="berschrift9"/>
    <w:semiHidden/>
    <w:rPr>
      <w:i/>
      <w:iCs/>
      <w:color w:val="404040" w:themeColor="text1" w:themeTint="BF"/>
      <w:lang w:val="it-IT"/>
    </w:rPr>
  </w:style>
  <w:style w:type="paragraph" w:styleId="Verzeichnis3">
    <w:name w:val="toc 3"/>
    <w:basedOn w:val="Standard"/>
    <w:next w:val="Standard"/>
    <w:uiPriority w:val="39"/>
    <w:pPr>
      <w:spacing w:after="0"/>
      <w:ind w:left="360"/>
    </w:pPr>
    <w:rPr>
      <w:szCs w:val="22"/>
    </w:rPr>
  </w:style>
  <w:style w:type="paragraph" w:styleId="Verzeichnis4">
    <w:name w:val="toc 4"/>
    <w:basedOn w:val="Standard"/>
    <w:next w:val="Standard"/>
    <w:semiHidden/>
    <w:pPr>
      <w:spacing w:after="0"/>
      <w:ind w:left="540"/>
    </w:pPr>
    <w:rPr>
      <w:szCs w:val="20"/>
    </w:rPr>
  </w:style>
  <w:style w:type="paragraph" w:styleId="Verzeichnis5">
    <w:name w:val="toc 5"/>
    <w:basedOn w:val="Standard"/>
    <w:next w:val="Standard"/>
    <w:semiHidden/>
    <w:pPr>
      <w:spacing w:after="0"/>
      <w:ind w:left="720"/>
    </w:pPr>
    <w:rPr>
      <w:szCs w:val="20"/>
    </w:rPr>
  </w:style>
  <w:style w:type="paragraph" w:styleId="Verzeichnis6">
    <w:name w:val="toc 6"/>
    <w:basedOn w:val="Standard"/>
    <w:next w:val="Standard"/>
    <w:semiHidden/>
    <w:pPr>
      <w:spacing w:after="0"/>
      <w:ind w:left="900"/>
    </w:pPr>
    <w:rPr>
      <w:szCs w:val="20"/>
    </w:rPr>
  </w:style>
  <w:style w:type="paragraph" w:styleId="Verzeichnis7">
    <w:name w:val="toc 7"/>
    <w:basedOn w:val="Standard"/>
    <w:next w:val="Standard"/>
    <w:semiHidden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semiHidden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semiHidden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customStyle="1" w:styleId="Betreff">
    <w:name w:val="Betreff"/>
    <w:basedOn w:val="Body"/>
    <w:qFormat/>
    <w:pPr>
      <w:tabs>
        <w:tab w:val="right" w:pos="9589"/>
      </w:tabs>
    </w:pPr>
    <w:rPr>
      <w:color w:val="D81921"/>
    </w:rPr>
  </w:style>
  <w:style w:type="character" w:customStyle="1" w:styleId="Quellcodeinline">
    <w:name w:val="Quellcode inline"/>
    <w:uiPriority w:val="1"/>
    <w:qFormat/>
    <w:rPr>
      <w:rFonts w:ascii="Menlo" w:hAnsi="Menlo"/>
    </w:rPr>
  </w:style>
  <w:style w:type="paragraph" w:styleId="Listenabsatz">
    <w:name w:val="List Paragraph"/>
    <w:basedOn w:val="Liste"/>
    <w:uiPriority w:val="34"/>
    <w:qFormat/>
    <w:pPr>
      <w:ind w:left="360" w:hanging="360"/>
    </w:pPr>
  </w:style>
  <w:style w:type="paragraph" w:styleId="Index1">
    <w:name w:val="index 1"/>
    <w:basedOn w:val="Standard"/>
    <w:next w:val="Standard"/>
    <w:semiHidden/>
    <w:pPr>
      <w:ind w:left="180" w:hanging="180"/>
    </w:pPr>
  </w:style>
  <w:style w:type="paragraph" w:styleId="Index2">
    <w:name w:val="index 2"/>
    <w:basedOn w:val="Standard"/>
    <w:next w:val="Standard"/>
    <w:semiHidden/>
    <w:pPr>
      <w:ind w:left="360" w:hanging="180"/>
    </w:pPr>
  </w:style>
  <w:style w:type="paragraph" w:styleId="Index3">
    <w:name w:val="index 3"/>
    <w:basedOn w:val="Standard"/>
    <w:next w:val="Standard"/>
    <w:semiHidden/>
    <w:pPr>
      <w:ind w:left="540" w:hanging="180"/>
    </w:pPr>
  </w:style>
  <w:style w:type="paragraph" w:styleId="Index4">
    <w:name w:val="index 4"/>
    <w:basedOn w:val="Standard"/>
    <w:next w:val="Standard"/>
    <w:semiHidden/>
    <w:pPr>
      <w:ind w:left="720" w:hanging="180"/>
    </w:pPr>
  </w:style>
  <w:style w:type="paragraph" w:styleId="Index5">
    <w:name w:val="index 5"/>
    <w:basedOn w:val="Standard"/>
    <w:next w:val="Standard"/>
    <w:semiHidden/>
    <w:pPr>
      <w:ind w:left="900" w:hanging="180"/>
    </w:pPr>
  </w:style>
  <w:style w:type="paragraph" w:styleId="Index6">
    <w:name w:val="index 6"/>
    <w:basedOn w:val="Standard"/>
    <w:next w:val="Standard"/>
    <w:semiHidden/>
    <w:pPr>
      <w:ind w:left="1080" w:hanging="180"/>
    </w:pPr>
  </w:style>
  <w:style w:type="paragraph" w:styleId="Index7">
    <w:name w:val="index 7"/>
    <w:basedOn w:val="Standard"/>
    <w:next w:val="Standard"/>
    <w:semiHidden/>
    <w:pPr>
      <w:ind w:left="1260" w:hanging="180"/>
    </w:pPr>
  </w:style>
  <w:style w:type="paragraph" w:styleId="Index8">
    <w:name w:val="index 8"/>
    <w:basedOn w:val="Standard"/>
    <w:next w:val="Standard"/>
    <w:semiHidden/>
    <w:pPr>
      <w:ind w:left="1440" w:hanging="180"/>
    </w:pPr>
  </w:style>
  <w:style w:type="paragraph" w:styleId="Index9">
    <w:name w:val="index 9"/>
    <w:basedOn w:val="Standard"/>
    <w:next w:val="Standard"/>
    <w:semiHidden/>
    <w:pPr>
      <w:ind w:left="1620" w:hanging="180"/>
    </w:pPr>
  </w:style>
  <w:style w:type="paragraph" w:styleId="Indexberschrift">
    <w:name w:val="index heading"/>
    <w:basedOn w:val="Standard"/>
    <w:next w:val="Index1"/>
    <w:semiHidden/>
  </w:style>
  <w:style w:type="paragraph" w:styleId="Abbildungsverzeichnis">
    <w:name w:val="table of figures"/>
    <w:basedOn w:val="Standard"/>
    <w:next w:val="Standard"/>
    <w:semiHidden/>
    <w:pPr>
      <w:ind w:left="360" w:hanging="360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 Neue" w:hAnsi="Helvetica Neue"/>
      <w:color w:val="313130"/>
      <w:sz w:val="24"/>
      <w:szCs w:val="24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Helvetica Neue" w:hAnsi="Helvetica Neue"/>
      <w:b/>
      <w:bCs/>
      <w:color w:val="313130"/>
      <w:sz w:val="24"/>
      <w:szCs w:val="24"/>
      <w:lang w:val="it-IT"/>
    </w:rPr>
  </w:style>
  <w:style w:type="character" w:styleId="BesuchterLink">
    <w:name w:val="FollowedHyperlink"/>
    <w:basedOn w:val="Absatz-Standardschriftart"/>
    <w:semiHidden/>
    <w:rPr>
      <w:color w:val="800080" w:themeColor="followedHyperlink"/>
      <w:u w:val="single"/>
    </w:rPr>
  </w:style>
  <w:style w:type="paragraph" w:customStyle="1" w:styleId="p1">
    <w:name w:val="p1"/>
    <w:basedOn w:val="Standard"/>
    <w:pPr>
      <w:spacing w:after="0" w:line="240" w:lineRule="auto"/>
    </w:pPr>
    <w:rPr>
      <w:rFonts w:ascii="Helvetica" w:hAnsi="Helvetica"/>
      <w:color w:val="auto"/>
      <w:szCs w:val="18"/>
    </w:rPr>
  </w:style>
  <w:style w:type="character" w:customStyle="1" w:styleId="s1">
    <w:name w:val="s1"/>
    <w:basedOn w:val="Absatz-Standardschriftart"/>
  </w:style>
  <w:style w:type="paragraph" w:styleId="berarbeitung">
    <w:name w:val="Revision"/>
    <w:hidden/>
    <w:uiPriority w:val="99"/>
    <w:semiHidden/>
    <w:rPr>
      <w:rFonts w:ascii="Helvetica Neue" w:hAnsi="Helvetica Neue"/>
      <w:color w:val="313130"/>
      <w:sz w:val="18"/>
      <w:szCs w:val="24"/>
    </w:rPr>
  </w:style>
  <w:style w:type="character" w:customStyle="1" w:styleId="UnresolvedMention1">
    <w:name w:val="Unresolved Mention1"/>
    <w:basedOn w:val="Absatz-Standardschriftart"/>
    <w:rPr>
      <w:color w:val="808080"/>
      <w:shd w:val="clear" w:color="auto" w:fill="E6E6E6"/>
    </w:rPr>
  </w:style>
  <w:style w:type="paragraph" w:customStyle="1" w:styleId="Kurzprofile">
    <w:name w:val="Kurzprofile"/>
    <w:basedOn w:val="Standard"/>
    <w:qFormat/>
    <w:pPr>
      <w:spacing w:before="120"/>
    </w:pPr>
    <w:rPr>
      <w:lang w:eastAsia="en-GB"/>
    </w:rPr>
  </w:style>
  <w:style w:type="table" w:customStyle="1" w:styleId="Redguardverticalfirstcolumn">
    <w:name w:val="Redguard_vertical first column"/>
    <w:basedOn w:val="NormaleTabelle"/>
    <w:uiPriority w:val="99"/>
    <w:pPr>
      <w:spacing w:before="120" w:after="120" w:line="288" w:lineRule="auto"/>
    </w:pPr>
    <w:rPr>
      <w:rFonts w:asciiTheme="minorHAnsi" w:eastAsiaTheme="minorHAnsi" w:hAnsiTheme="minorHAnsi" w:cs="times new roman (body cs)"/>
      <w:color w:val="000000" w:themeColor="text1"/>
      <w:sz w:val="22"/>
      <w:szCs w:val="22"/>
    </w:rPr>
    <w:tblPr>
      <w:tblInd w:w="-113" w:type="dxa"/>
    </w:tblPr>
    <w:tblStylePr w:type="firstCol">
      <w:rPr>
        <w:b/>
      </w:rPr>
      <w:tblPr/>
      <w:tcPr>
        <w:tcBorders>
          <w:right w:val="single" w:sz="4" w:space="0" w:color="BFBFBF" w:themeColor="background1" w:themeShade="BF"/>
        </w:tcBorders>
      </w:tcPr>
    </w:tblStyle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Helvetica Neue" w:hAnsi="Helvetica Neue"/>
      <w:color w:val="313130"/>
      <w:lang w:val="it-IT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paragraph" w:customStyle="1" w:styleId="Style1">
    <w:name w:val="Style1"/>
    <w:basedOn w:val="berschrift2"/>
    <w:qFormat/>
    <w:pPr>
      <w:numPr>
        <w:ilvl w:val="0"/>
        <w:numId w:val="0"/>
      </w:numPr>
      <w:spacing w:before="0"/>
      <w:ind w:left="442" w:hanging="442"/>
      <w:jc w:val="left"/>
    </w:pPr>
    <w:rPr>
      <w:rFonts w:eastAsia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2674-48F8-554C-88C7-D3D7F9A9D6CD}"/>
</file>

<file path=customXml/itemProps2.xml><?xml version="1.0" encoding="utf-8"?>
<ds:datastoreItem xmlns:ds="http://schemas.openxmlformats.org/officeDocument/2006/customXml" ds:itemID="{463D16EB-4E28-494A-A88C-04CEB15F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5590</Characters>
  <Application>Microsoft Office Word</Application>
  <DocSecurity>0</DocSecurity>
  <Lines>698</Lines>
  <Paragraphs>431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Heuberger Marco</cp:lastModifiedBy>
  <cp:revision>12</cp:revision>
  <dcterms:created xsi:type="dcterms:W3CDTF">2023-01-17T07:32:00Z</dcterms:created>
  <dcterms:modified xsi:type="dcterms:W3CDTF">2023-03-28T06:38:00Z</dcterms:modified>
  <cp:category/>
</cp:coreProperties>
</file>